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48E" w:rsidRDefault="000E448E">
      <w:pPr>
        <w:spacing w:line="584" w:lineRule="exact"/>
        <w:ind w:firstLineChars="200" w:firstLine="880"/>
        <w:jc w:val="center"/>
        <w:rPr>
          <w:rFonts w:ascii="Times New Roman" w:eastAsia="仿宋_GB2312" w:hAnsi="Times New Roman" w:cs="Times New Roman"/>
          <w:sz w:val="44"/>
          <w:szCs w:val="44"/>
        </w:rPr>
      </w:pPr>
    </w:p>
    <w:p w:rsidR="000E448E" w:rsidRDefault="000E448E">
      <w:pPr>
        <w:spacing w:line="584" w:lineRule="exact"/>
        <w:ind w:firstLineChars="200" w:firstLine="880"/>
        <w:jc w:val="center"/>
        <w:rPr>
          <w:rFonts w:ascii="Times New Roman" w:eastAsia="仿宋_GB2312" w:hAnsi="Times New Roman" w:cs="Times New Roman"/>
          <w:sz w:val="44"/>
          <w:szCs w:val="44"/>
        </w:rPr>
      </w:pPr>
    </w:p>
    <w:p w:rsidR="000E448E" w:rsidRDefault="006F7A5B">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廊坊市</w:t>
      </w:r>
      <w:r>
        <w:rPr>
          <w:rFonts w:ascii="方正小标宋简体" w:eastAsia="方正小标宋简体" w:hAnsi="方正小标宋简体" w:cs="方正小标宋简体" w:hint="eastAsia"/>
          <w:sz w:val="44"/>
          <w:szCs w:val="44"/>
        </w:rPr>
        <w:t>文安县档案馆</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w:t>
      </w:r>
      <w:r>
        <w:rPr>
          <w:rFonts w:ascii="Times New Roman" w:eastAsia="方正小标宋简体" w:hAnsi="Times New Roman" w:cs="Times New Roman" w:hint="eastAsia"/>
          <w:sz w:val="44"/>
          <w:szCs w:val="44"/>
        </w:rPr>
        <w:t>3</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0E448E" w:rsidRDefault="000E448E">
      <w:pPr>
        <w:spacing w:line="584" w:lineRule="exact"/>
        <w:ind w:firstLineChars="200" w:firstLine="880"/>
        <w:jc w:val="center"/>
        <w:rPr>
          <w:rFonts w:ascii="Times New Roman" w:eastAsia="仿宋_GB2312" w:hAnsi="Times New Roman" w:cs="Times New Roman"/>
          <w:sz w:val="44"/>
          <w:szCs w:val="44"/>
        </w:rPr>
      </w:pPr>
    </w:p>
    <w:p w:rsidR="000E448E" w:rsidRDefault="006F7A5B">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w:t>
      </w:r>
      <w:r>
        <w:rPr>
          <w:rFonts w:ascii="Times New Roman" w:eastAsia="仿宋_GB2312" w:hAnsi="Times New Roman" w:cs="Times New Roman" w:hint="eastAsia"/>
          <w:sz w:val="32"/>
          <w:szCs w:val="32"/>
        </w:rPr>
        <w:t>县级</w:t>
      </w:r>
      <w:r>
        <w:rPr>
          <w:rFonts w:ascii="Times New Roman" w:eastAsia="仿宋_GB2312" w:hAnsi="Times New Roman" w:cs="Times New Roman"/>
          <w:sz w:val="32"/>
          <w:szCs w:val="32"/>
        </w:rPr>
        <w:t>预算公开办法》规定，现将廊坊市</w:t>
      </w:r>
      <w:r>
        <w:rPr>
          <w:rFonts w:ascii="Times New Roman" w:eastAsia="仿宋_GB2312" w:hAnsi="Times New Roman" w:cs="Times New Roman" w:hint="eastAsia"/>
          <w:sz w:val="32"/>
          <w:szCs w:val="32"/>
        </w:rPr>
        <w:t>文安县档案馆</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年部门预算公开如下：</w:t>
      </w:r>
    </w:p>
    <w:p w:rsidR="000E448E" w:rsidRDefault="006F7A5B">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0E448E" w:rsidRDefault="006F7A5B" w:rsidP="00E273FE">
      <w:pPr>
        <w:spacing w:line="584"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0E448E" w:rsidRDefault="006F7A5B">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（一）</w:t>
      </w:r>
      <w:r>
        <w:rPr>
          <w:rFonts w:ascii="仿宋_GB2312" w:eastAsia="仿宋_GB2312" w:hAnsi="仿宋_GB2312" w:cs="仿宋_GB2312" w:hint="eastAsia"/>
          <w:sz w:val="32"/>
          <w:szCs w:val="32"/>
        </w:rPr>
        <w:t>贯彻执行国家</w:t>
      </w:r>
      <w:r>
        <w:rPr>
          <w:rFonts w:ascii="仿宋_GB2312" w:eastAsia="仿宋_GB2312" w:hAnsi="仿宋_GB2312" w:cs="仿宋_GB2312" w:hint="eastAsia"/>
          <w:sz w:val="32"/>
          <w:szCs w:val="32"/>
        </w:rPr>
        <w:t>、省、市</w:t>
      </w:r>
      <w:r>
        <w:rPr>
          <w:rFonts w:ascii="仿宋_GB2312" w:eastAsia="仿宋_GB2312" w:hAnsi="仿宋_GB2312" w:cs="仿宋_GB2312" w:hint="eastAsia"/>
          <w:sz w:val="32"/>
          <w:szCs w:val="32"/>
        </w:rPr>
        <w:t>有关档案管理的法律、法规、规章。</w:t>
      </w:r>
    </w:p>
    <w:p w:rsidR="000E448E" w:rsidRDefault="006F7A5B">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（二）</w:t>
      </w:r>
      <w:r>
        <w:rPr>
          <w:rFonts w:ascii="仿宋_GB2312" w:eastAsia="仿宋_GB2312" w:hAnsi="仿宋_GB2312" w:cs="仿宋_GB2312" w:hint="eastAsia"/>
          <w:sz w:val="32"/>
          <w:szCs w:val="32"/>
        </w:rPr>
        <w:t>集中统一管理</w:t>
      </w:r>
      <w:r>
        <w:rPr>
          <w:rFonts w:ascii="仿宋_GB2312" w:eastAsia="仿宋_GB2312" w:hAnsi="仿宋_GB2312" w:cs="仿宋_GB2312" w:hint="eastAsia"/>
          <w:sz w:val="32"/>
          <w:szCs w:val="32"/>
        </w:rPr>
        <w:t>全县</w:t>
      </w:r>
      <w:r>
        <w:rPr>
          <w:rFonts w:ascii="仿宋_GB2312" w:eastAsia="仿宋_GB2312" w:hAnsi="仿宋_GB2312" w:cs="仿宋_GB2312" w:hint="eastAsia"/>
          <w:sz w:val="32"/>
          <w:szCs w:val="32"/>
        </w:rPr>
        <w:t>各历史时期的档案资料，保守党和国家机密，维护档案完整，确保档案资料安全。</w:t>
      </w:r>
    </w:p>
    <w:p w:rsidR="000E448E" w:rsidRDefault="006F7A5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Times New Roman" w:eastAsia="楷体_GB2312" w:hAnsi="Times New Roman" w:cs="Times New Roman" w:hint="eastAsia"/>
          <w:b/>
          <w:sz w:val="32"/>
          <w:szCs w:val="32"/>
        </w:rPr>
        <w:t>（三）</w:t>
      </w:r>
      <w:r>
        <w:rPr>
          <w:rFonts w:ascii="仿宋_GB2312" w:eastAsia="仿宋_GB2312" w:hAnsi="仿宋_GB2312" w:cs="仿宋_GB2312" w:hint="eastAsia"/>
          <w:sz w:val="32"/>
          <w:szCs w:val="32"/>
        </w:rPr>
        <w:t>接收</w:t>
      </w:r>
      <w:r>
        <w:rPr>
          <w:rFonts w:ascii="仿宋_GB2312" w:eastAsia="仿宋_GB2312" w:hAnsi="仿宋_GB2312" w:cs="仿宋_GB2312" w:hint="eastAsia"/>
          <w:sz w:val="32"/>
          <w:szCs w:val="32"/>
        </w:rPr>
        <w:t>全县各</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应进馆档案资料。</w:t>
      </w:r>
    </w:p>
    <w:p w:rsidR="000E448E" w:rsidRDefault="006F7A5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Times New Roman" w:eastAsia="楷体_GB2312" w:hAnsi="Times New Roman" w:cs="Times New Roman" w:hint="eastAsia"/>
          <w:b/>
          <w:sz w:val="32"/>
          <w:szCs w:val="32"/>
        </w:rPr>
        <w:t>（四）</w:t>
      </w:r>
      <w:r>
        <w:rPr>
          <w:rFonts w:ascii="仿宋_GB2312" w:eastAsia="仿宋_GB2312" w:hAnsi="仿宋_GB2312" w:cs="仿宋_GB2312" w:hint="eastAsia"/>
          <w:sz w:val="32"/>
          <w:szCs w:val="32"/>
        </w:rPr>
        <w:t>征集散存在社会上</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对国家和社会有保存价值的珍贵档案资料。</w:t>
      </w:r>
    </w:p>
    <w:p w:rsidR="000E448E" w:rsidRDefault="006F7A5B">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（五）</w:t>
      </w:r>
      <w:r>
        <w:rPr>
          <w:rFonts w:ascii="仿宋_GB2312" w:eastAsia="仿宋_GB2312" w:hAnsi="仿宋_GB2312" w:cs="仿宋_GB2312" w:hint="eastAsia"/>
          <w:sz w:val="32"/>
          <w:szCs w:val="32"/>
        </w:rPr>
        <w:t>负责馆藏档案资料的整理、编目、鉴定、统计和技术保护工作。</w:t>
      </w:r>
      <w:r>
        <w:rPr>
          <w:rFonts w:ascii="仿宋_GB2312" w:eastAsia="仿宋_GB2312" w:hAnsi="仿宋_GB2312" w:cs="仿宋_GB2312" w:hint="eastAsia"/>
          <w:sz w:val="32"/>
          <w:szCs w:val="32"/>
        </w:rPr>
        <w:t xml:space="preserve">    </w:t>
      </w:r>
    </w:p>
    <w:p w:rsidR="000E448E" w:rsidRDefault="006F7A5B">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（六）</w:t>
      </w:r>
      <w:r>
        <w:rPr>
          <w:rFonts w:ascii="仿宋_GB2312" w:eastAsia="仿宋_GB2312" w:hAnsi="仿宋_GB2312" w:cs="仿宋_GB2312" w:hint="eastAsia"/>
          <w:sz w:val="32"/>
          <w:szCs w:val="32"/>
        </w:rPr>
        <w:t>依法开放档案，为党和政府及社会各方面提供利用服务。</w:t>
      </w:r>
    </w:p>
    <w:p w:rsidR="000E448E" w:rsidRDefault="006F7A5B">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lastRenderedPageBreak/>
        <w:t>（七）</w:t>
      </w:r>
      <w:r>
        <w:rPr>
          <w:rFonts w:ascii="仿宋_GB2312" w:eastAsia="仿宋_GB2312" w:hAnsi="仿宋_GB2312" w:cs="仿宋_GB2312" w:hint="eastAsia"/>
          <w:sz w:val="32"/>
          <w:szCs w:val="32"/>
        </w:rPr>
        <w:t>承担政府公开信息的收集、管理和集中查阅工作。</w:t>
      </w:r>
    </w:p>
    <w:p w:rsidR="000E448E" w:rsidRDefault="006F7A5B">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（八）</w:t>
      </w:r>
      <w:r>
        <w:rPr>
          <w:rFonts w:ascii="仿宋_GB2312" w:eastAsia="仿宋_GB2312" w:hAnsi="仿宋_GB2312" w:cs="仿宋_GB2312" w:hint="eastAsia"/>
          <w:sz w:val="32"/>
          <w:szCs w:val="32"/>
        </w:rPr>
        <w:t>开发档案信息资源，开展档案史料编研出版、展览陈列和社会教育活动。</w:t>
      </w:r>
    </w:p>
    <w:p w:rsidR="000E448E" w:rsidRDefault="006F7A5B">
      <w:pPr>
        <w:spacing w:line="600" w:lineRule="exact"/>
        <w:ind w:firstLine="629"/>
        <w:rPr>
          <w:rFonts w:ascii="仿宋_GB2312" w:eastAsia="仿宋_GB2312" w:hAnsi="仿宋_GB2312" w:cs="仿宋_GB2312"/>
          <w:sz w:val="32"/>
          <w:szCs w:val="32"/>
        </w:rPr>
      </w:pPr>
      <w:r>
        <w:rPr>
          <w:rFonts w:ascii="Times New Roman" w:eastAsia="楷体_GB2312" w:hAnsi="Times New Roman" w:cs="Times New Roman" w:hint="eastAsia"/>
          <w:b/>
          <w:sz w:val="32"/>
          <w:szCs w:val="32"/>
        </w:rPr>
        <w:t>（九）</w:t>
      </w:r>
      <w:r>
        <w:rPr>
          <w:rFonts w:ascii="仿宋_GB2312" w:eastAsia="仿宋_GB2312" w:hAnsi="仿宋_GB2312" w:cs="仿宋_GB2312" w:hint="eastAsia"/>
          <w:sz w:val="32"/>
          <w:szCs w:val="32"/>
        </w:rPr>
        <w:t>运用现代化技术手段，开展馆藏档案信息化建设。</w:t>
      </w:r>
    </w:p>
    <w:p w:rsidR="000E448E" w:rsidRDefault="006F7A5B">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Times New Roman" w:eastAsia="楷体_GB2312" w:hAnsi="Times New Roman" w:cs="Times New Roman" w:hint="eastAsia"/>
          <w:b/>
          <w:sz w:val="32"/>
          <w:szCs w:val="32"/>
        </w:rPr>
        <w:t>（十）</w:t>
      </w:r>
      <w:r>
        <w:rPr>
          <w:rFonts w:ascii="仿宋_GB2312" w:eastAsia="仿宋_GB2312" w:hAnsi="仿宋_GB2312" w:cs="仿宋_GB2312" w:hint="eastAsia"/>
          <w:sz w:val="32"/>
          <w:szCs w:val="32"/>
        </w:rPr>
        <w:t>完成</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委交办的其他任务。</w:t>
      </w:r>
    </w:p>
    <w:p w:rsidR="000E448E" w:rsidRDefault="006F7A5B" w:rsidP="00E273FE">
      <w:pPr>
        <w:autoSpaceDE w:val="0"/>
        <w:autoSpaceDN w:val="0"/>
        <w:adjustRightInd w:val="0"/>
        <w:spacing w:line="584" w:lineRule="exact"/>
        <w:ind w:firstLineChars="196" w:firstLine="627"/>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0E448E" w:rsidRDefault="006F7A5B">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0E448E">
        <w:trPr>
          <w:trHeight w:val="584"/>
          <w:tblHeader/>
          <w:jc w:val="center"/>
        </w:trPr>
        <w:tc>
          <w:tcPr>
            <w:tcW w:w="4443" w:type="dxa"/>
            <w:vMerge w:val="restart"/>
            <w:shd w:val="clear" w:color="auto" w:fill="auto"/>
            <w:vAlign w:val="center"/>
          </w:tcPr>
          <w:p w:rsidR="000E448E" w:rsidRDefault="006F7A5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0E448E" w:rsidRDefault="006F7A5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0E448E" w:rsidRDefault="006F7A5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0E448E" w:rsidRDefault="006F7A5B">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0E448E">
        <w:trPr>
          <w:trHeight w:val="584"/>
          <w:tblHeader/>
          <w:jc w:val="center"/>
        </w:trPr>
        <w:tc>
          <w:tcPr>
            <w:tcW w:w="4443" w:type="dxa"/>
            <w:vMerge/>
            <w:shd w:val="clear" w:color="auto" w:fill="auto"/>
            <w:vAlign w:val="center"/>
          </w:tcPr>
          <w:p w:rsidR="000E448E" w:rsidRDefault="000E448E"/>
        </w:tc>
        <w:tc>
          <w:tcPr>
            <w:tcW w:w="1134" w:type="dxa"/>
            <w:vMerge/>
            <w:shd w:val="clear" w:color="auto" w:fill="auto"/>
            <w:vAlign w:val="center"/>
          </w:tcPr>
          <w:p w:rsidR="000E448E" w:rsidRDefault="000E448E"/>
        </w:tc>
        <w:tc>
          <w:tcPr>
            <w:tcW w:w="1276" w:type="dxa"/>
            <w:vMerge/>
            <w:shd w:val="clear" w:color="auto" w:fill="auto"/>
            <w:vAlign w:val="center"/>
          </w:tcPr>
          <w:p w:rsidR="000E448E" w:rsidRDefault="000E448E"/>
        </w:tc>
        <w:tc>
          <w:tcPr>
            <w:tcW w:w="2902" w:type="dxa"/>
            <w:vMerge/>
            <w:shd w:val="clear" w:color="auto" w:fill="auto"/>
            <w:vAlign w:val="center"/>
          </w:tcPr>
          <w:p w:rsidR="000E448E" w:rsidRDefault="000E448E"/>
        </w:tc>
      </w:tr>
      <w:tr w:rsidR="000E448E">
        <w:trPr>
          <w:trHeight w:val="227"/>
          <w:jc w:val="center"/>
        </w:trPr>
        <w:tc>
          <w:tcPr>
            <w:tcW w:w="4443" w:type="dxa"/>
            <w:shd w:val="clear" w:color="auto" w:fill="auto"/>
            <w:vAlign w:val="center"/>
          </w:tcPr>
          <w:p w:rsidR="000E448E" w:rsidRDefault="006F7A5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文安县档案馆</w:t>
            </w:r>
          </w:p>
        </w:tc>
        <w:tc>
          <w:tcPr>
            <w:tcW w:w="1134" w:type="dxa"/>
            <w:shd w:val="clear" w:color="auto" w:fill="auto"/>
            <w:vAlign w:val="center"/>
          </w:tcPr>
          <w:p w:rsidR="000E448E" w:rsidRDefault="006F7A5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w:t>
            </w:r>
          </w:p>
        </w:tc>
        <w:tc>
          <w:tcPr>
            <w:tcW w:w="1276" w:type="dxa"/>
            <w:shd w:val="clear" w:color="auto" w:fill="auto"/>
            <w:vAlign w:val="center"/>
          </w:tcPr>
          <w:p w:rsidR="000E448E" w:rsidRDefault="006F7A5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w:t>
            </w:r>
            <w:r>
              <w:rPr>
                <w:rFonts w:ascii="Times New Roman" w:eastAsia="仿宋_GB2312" w:hAnsi="Times New Roman" w:cs="Times New Roman" w:hint="eastAsia"/>
                <w:b/>
              </w:rPr>
              <w:t>科级</w:t>
            </w:r>
          </w:p>
        </w:tc>
        <w:tc>
          <w:tcPr>
            <w:tcW w:w="2902" w:type="dxa"/>
            <w:shd w:val="clear" w:color="auto" w:fill="auto"/>
            <w:vAlign w:val="center"/>
          </w:tcPr>
          <w:p w:rsidR="000E448E" w:rsidRDefault="006F7A5B">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rsidR="000E448E" w:rsidRDefault="006F7A5B">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0E448E" w:rsidRDefault="006F7A5B">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Pr>
          <w:rFonts w:ascii="仿宋_GB2312" w:eastAsia="仿宋_GB2312" w:cs="仿宋_GB2312" w:hint="eastAsia"/>
          <w:color w:val="333333"/>
          <w:sz w:val="32"/>
          <w:szCs w:val="32"/>
          <w:shd w:val="clear" w:color="auto" w:fill="FFFFFF"/>
        </w:rPr>
        <w:t>廊坊市文安县档案</w:t>
      </w:r>
      <w:r>
        <w:rPr>
          <w:rFonts w:ascii="仿宋_GB2312" w:eastAsia="仿宋_GB2312" w:cs="仿宋_GB2312" w:hint="eastAsia"/>
          <w:color w:val="333333"/>
          <w:sz w:val="32"/>
          <w:szCs w:val="32"/>
          <w:shd w:val="clear" w:color="auto" w:fill="FFFFFF"/>
        </w:rPr>
        <w:t>馆</w:t>
      </w:r>
      <w:r>
        <w:rPr>
          <w:rFonts w:ascii="仿宋_GB2312" w:eastAsia="仿宋_GB2312" w:cs="仿宋_GB2312" w:hint="eastAsia"/>
          <w:color w:val="333333"/>
          <w:sz w:val="32"/>
          <w:szCs w:val="32"/>
          <w:shd w:val="clear" w:color="auto" w:fill="FFFFFF"/>
        </w:rPr>
        <w:t>无下属事业单位，文安县档案</w:t>
      </w:r>
      <w:r>
        <w:rPr>
          <w:rFonts w:ascii="仿宋_GB2312" w:eastAsia="仿宋_GB2312" w:cs="仿宋_GB2312" w:hint="eastAsia"/>
          <w:color w:val="333333"/>
          <w:sz w:val="32"/>
          <w:szCs w:val="32"/>
          <w:shd w:val="clear" w:color="auto" w:fill="FFFFFF"/>
        </w:rPr>
        <w:t>馆</w:t>
      </w:r>
      <w:r>
        <w:rPr>
          <w:rFonts w:ascii="仿宋_GB2312" w:eastAsia="仿宋_GB2312" w:cs="仿宋_GB2312" w:hint="eastAsia"/>
          <w:color w:val="333333"/>
          <w:sz w:val="32"/>
          <w:szCs w:val="32"/>
          <w:shd w:val="clear" w:color="auto" w:fill="FFFFFF"/>
        </w:rPr>
        <w:t>本级的全部收支包含在部门预算中。</w:t>
      </w:r>
    </w:p>
    <w:p w:rsidR="000E448E" w:rsidRDefault="006F7A5B">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0E448E" w:rsidRDefault="006F7A5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233.88</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233.88</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（有则写，无则填</w:t>
      </w:r>
      <w:r>
        <w:rPr>
          <w:rFonts w:ascii="Times New Roman" w:eastAsia="仿宋_GB2312" w:hAnsi="Times New Roman" w:cs="Times New Roman"/>
          <w:sz w:val="32"/>
          <w:szCs w:val="32"/>
        </w:rPr>
        <w:lastRenderedPageBreak/>
        <w:t>0</w:t>
      </w:r>
      <w:r>
        <w:rPr>
          <w:rFonts w:ascii="Times New Roman" w:eastAsia="仿宋_GB2312" w:hAnsi="Times New Roman" w:cs="Times New Roman"/>
          <w:sz w:val="32"/>
          <w:szCs w:val="32"/>
        </w:rPr>
        <w:t>万元）。</w:t>
      </w:r>
    </w:p>
    <w:p w:rsidR="000E448E" w:rsidRDefault="006F7A5B">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0E448E" w:rsidRDefault="006F7A5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收支预算总表支出栏、基本支出表、项目支出表按经济分类和支出功能分类科目编制，反映廊坊市</w:t>
      </w:r>
      <w:r>
        <w:rPr>
          <w:rFonts w:ascii="Times New Roman" w:eastAsia="仿宋_GB2312" w:hAnsi="Times New Roman" w:cs="Times New Roman" w:hint="eastAsia"/>
          <w:sz w:val="32"/>
          <w:szCs w:val="32"/>
        </w:rPr>
        <w:t>文安县档案馆</w:t>
      </w:r>
      <w:r>
        <w:rPr>
          <w:rFonts w:ascii="Times New Roman" w:eastAsia="仿宋_GB2312" w:hAnsi="Times New Roman" w:cs="Times New Roman" w:hint="eastAsia"/>
          <w:sz w:val="32"/>
          <w:szCs w:val="32"/>
        </w:rPr>
        <w:t>2023</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233.88</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233.88</w:t>
      </w:r>
      <w:r>
        <w:rPr>
          <w:rFonts w:ascii="Times New Roman" w:eastAsia="仿宋_GB2312" w:hAnsi="Times New Roman" w:cs="Times New Roman"/>
          <w:sz w:val="32"/>
          <w:szCs w:val="32"/>
        </w:rPr>
        <w:t>万元，包括人员类项目经费</w:t>
      </w:r>
      <w:r>
        <w:rPr>
          <w:rFonts w:ascii="Times New Roman" w:eastAsia="仿宋_GB2312" w:hAnsi="Times New Roman" w:cs="Times New Roman" w:hint="eastAsia"/>
          <w:sz w:val="32"/>
          <w:szCs w:val="32"/>
        </w:rPr>
        <w:t>215.53</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Pr>
          <w:rFonts w:ascii="Times New Roman" w:eastAsia="仿宋_GB2312" w:hAnsi="Times New Roman" w:cs="Times New Roman" w:hint="eastAsia"/>
          <w:sz w:val="32"/>
          <w:szCs w:val="32"/>
        </w:rPr>
        <w:t>18.35</w:t>
      </w:r>
      <w:r>
        <w:rPr>
          <w:rFonts w:ascii="Times New Roman" w:eastAsia="仿宋_GB2312" w:hAnsi="Times New Roman" w:cs="Times New Roman"/>
          <w:sz w:val="32"/>
          <w:szCs w:val="32"/>
        </w:rPr>
        <w:t>万元；运转类其他及特定目标类项目支出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p>
    <w:p w:rsidR="000E448E" w:rsidRDefault="006F7A5B">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0E448E" w:rsidRDefault="006F7A5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233.88</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年预算增加</w:t>
      </w:r>
      <w:r>
        <w:rPr>
          <w:rFonts w:ascii="Times New Roman" w:eastAsia="仿宋_GB2312" w:hAnsi="Times New Roman" w:cs="Times New Roman" w:hint="eastAsia"/>
          <w:sz w:val="32"/>
          <w:szCs w:val="32"/>
        </w:rPr>
        <w:t>20.78</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20.78</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人员工资福利增加</w:t>
      </w:r>
      <w:r>
        <w:rPr>
          <w:rFonts w:ascii="Times New Roman" w:eastAsia="仿宋_GB2312" w:hAnsi="Times New Roman" w:cs="Times New Roman"/>
          <w:sz w:val="32"/>
          <w:szCs w:val="32"/>
        </w:rPr>
        <w:t>。</w:t>
      </w:r>
    </w:p>
    <w:p w:rsidR="000E448E" w:rsidRDefault="006F7A5B">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0E448E" w:rsidRDefault="006F7A5B">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年，我局机关运行经费共计安排</w:t>
      </w:r>
      <w:r>
        <w:rPr>
          <w:rFonts w:ascii="Times New Roman" w:eastAsia="仿宋_GB2312" w:hAnsi="Times New Roman" w:cs="Times New Roman" w:hint="eastAsia"/>
          <w:sz w:val="32"/>
          <w:szCs w:val="32"/>
        </w:rPr>
        <w:t>18.35</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档案馆</w:t>
      </w:r>
      <w:r>
        <w:rPr>
          <w:rFonts w:ascii="Times New Roman" w:eastAsia="仿宋_GB2312" w:hAnsi="Times New Roman" w:cs="Times New Roman"/>
          <w:sz w:val="32"/>
          <w:szCs w:val="32"/>
        </w:rPr>
        <w:t>办公区的日常维修、</w:t>
      </w:r>
      <w:r>
        <w:rPr>
          <w:rFonts w:ascii="Times New Roman" w:eastAsia="仿宋_GB2312" w:hAnsi="Times New Roman" w:cs="Times New Roman" w:hint="eastAsia"/>
          <w:sz w:val="32"/>
          <w:szCs w:val="32"/>
        </w:rPr>
        <w:t>办公用品更换、购置等、工会经费、在职人员公务交通费</w:t>
      </w:r>
      <w:r>
        <w:rPr>
          <w:rFonts w:ascii="Times New Roman" w:eastAsia="仿宋_GB2312" w:hAnsi="Times New Roman" w:cs="Times New Roman"/>
          <w:sz w:val="32"/>
          <w:szCs w:val="32"/>
        </w:rPr>
        <w:t>等日常运行支出。</w:t>
      </w:r>
    </w:p>
    <w:p w:rsidR="000E448E" w:rsidRDefault="006F7A5B" w:rsidP="00E273FE">
      <w:pPr>
        <w:autoSpaceDE w:val="0"/>
        <w:autoSpaceDN w:val="0"/>
        <w:adjustRightInd w:val="0"/>
        <w:spacing w:line="584" w:lineRule="exact"/>
        <w:ind w:firstLineChars="196" w:firstLine="627"/>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rsidR="000E448E" w:rsidRDefault="006F7A5B">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23</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1.4</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lastRenderedPageBreak/>
        <w:t>年</w:t>
      </w:r>
      <w:r>
        <w:rPr>
          <w:rFonts w:ascii="Times New Roman" w:eastAsia="仿宋_GB2312" w:hAnsi="Times New Roman" w:cs="Times New Roman" w:hint="eastAsia"/>
          <w:sz w:val="32"/>
          <w:szCs w:val="32"/>
        </w:rPr>
        <w:t>相比</w:t>
      </w:r>
      <w:r>
        <w:rPr>
          <w:rFonts w:ascii="Times New Roman" w:eastAsia="仿宋_GB2312" w:hAnsi="Times New Roman" w:cs="Times New Roman"/>
          <w:sz w:val="32"/>
          <w:szCs w:val="32"/>
        </w:rPr>
        <w:t>持平</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我部门切实落实勤俭节约各项规定，严格控制公务接待费支出。</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212</w:t>
      </w:r>
      <w:r>
        <w:rPr>
          <w:rFonts w:ascii="Times New Roman" w:eastAsia="仿宋_GB2312" w:hAnsi="Times New Roman" w:cs="Times New Roman"/>
          <w:sz w:val="32"/>
          <w:szCs w:val="32"/>
        </w:rPr>
        <w:t>年相比持平，无增减变化。</w:t>
      </w:r>
    </w:p>
    <w:p w:rsidR="000E448E" w:rsidRDefault="006F7A5B">
      <w:pPr>
        <w:numPr>
          <w:ilvl w:val="0"/>
          <w:numId w:val="1"/>
        </w:num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绩效预算信息</w:t>
      </w:r>
    </w:p>
    <w:p w:rsidR="000E448E" w:rsidRDefault="006F7A5B">
      <w:pPr>
        <w:spacing w:line="584" w:lineRule="exact"/>
        <w:ind w:firstLineChars="100" w:firstLine="32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0E448E" w:rsidRDefault="006F7A5B" w:rsidP="00E273FE">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w:t>
      </w:r>
      <w:r>
        <w:rPr>
          <w:rFonts w:ascii="楷体_GB2312" w:eastAsia="楷体_GB2312" w:cs="Times New Roman" w:hint="eastAsia"/>
          <w:b/>
          <w:sz w:val="32"/>
          <w:szCs w:val="32"/>
        </w:rPr>
        <w:t>一</w:t>
      </w:r>
      <w:r>
        <w:rPr>
          <w:rFonts w:ascii="楷体_GB2312" w:eastAsia="楷体_GB2312" w:cs="Times New Roman" w:hint="eastAsia"/>
          <w:b/>
          <w:sz w:val="32"/>
          <w:szCs w:val="32"/>
        </w:rPr>
        <w:t>）</w:t>
      </w:r>
      <w:r>
        <w:rPr>
          <w:rFonts w:ascii="楷体_GB2312" w:eastAsia="楷体_GB2312" w:cs="Times New Roman" w:hint="eastAsia"/>
          <w:b/>
          <w:sz w:val="32"/>
          <w:szCs w:val="32"/>
        </w:rPr>
        <w:t>总体绩效目标</w:t>
      </w:r>
    </w:p>
    <w:p w:rsidR="000E448E" w:rsidRDefault="006F7A5B">
      <w:pPr>
        <w:pStyle w:val="a7"/>
        <w:widowControl/>
        <w:shd w:val="clear" w:color="auto" w:fill="FFFFFF"/>
        <w:tabs>
          <w:tab w:val="left" w:pos="0"/>
        </w:tabs>
        <w:spacing w:before="0" w:beforeAutospacing="0" w:after="0" w:afterAutospacing="0" w:line="405" w:lineRule="atLeas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继续认真学习贯彻党的十九大和</w:t>
      </w:r>
      <w:r w:rsidR="00E273FE" w:rsidRPr="00E273FE">
        <w:rPr>
          <w:rFonts w:ascii="仿宋_GB2312" w:eastAsia="仿宋_GB2312" w:hAnsi="仿宋_GB2312" w:cs="仿宋_GB2312" w:hint="eastAsia"/>
          <w:sz w:val="32"/>
        </w:rPr>
        <w:t>习近平总书记系列重要讲话精神</w:t>
      </w:r>
      <w:r>
        <w:rPr>
          <w:rFonts w:ascii="仿宋_GB2312" w:eastAsia="仿宋_GB2312" w:hAnsi="仿宋_GB2312" w:cs="仿宋_GB2312" w:hint="eastAsia"/>
          <w:sz w:val="32"/>
        </w:rPr>
        <w:t>,</w:t>
      </w:r>
      <w:r>
        <w:rPr>
          <w:rFonts w:ascii="仿宋_GB2312" w:eastAsia="仿宋_GB2312" w:hAnsi="仿宋_GB2312" w:cs="仿宋_GB2312" w:hint="eastAsia"/>
          <w:sz w:val="32"/>
        </w:rPr>
        <w:t>按照县委、县政府和上级档案业务部门的工作安排部署及目标要求，研究制定切实有力的工作施，确保全年工作目标任务的圆满完成。档案馆围绕县委县政府中心工作，以“科学发展、服务民生”为主题，充分发挥档案馆的服务作用。</w:t>
      </w:r>
    </w:p>
    <w:p w:rsidR="000E448E" w:rsidRDefault="006F7A5B" w:rsidP="00E273FE">
      <w:pPr>
        <w:pStyle w:val="a7"/>
        <w:widowControl/>
        <w:shd w:val="clear" w:color="auto" w:fill="FFFFFF"/>
        <w:tabs>
          <w:tab w:val="left" w:pos="0"/>
        </w:tabs>
        <w:spacing w:before="0" w:beforeAutospacing="0" w:after="0" w:afterAutospacing="0" w:line="405" w:lineRule="atLeast"/>
        <w:ind w:firstLineChars="200" w:firstLine="640"/>
        <w:rPr>
          <w:rFonts w:ascii="仿宋_GB2312" w:eastAsia="仿宋_GB2312" w:hAnsi="仿宋_GB2312" w:cs="仿宋_GB2312"/>
          <w:sz w:val="32"/>
        </w:rPr>
      </w:pPr>
      <w:r>
        <w:rPr>
          <w:rFonts w:ascii="楷体_GB2312" w:eastAsia="楷体_GB2312" w:hAnsi="楷体_GB2312" w:cs="楷体_GB2312" w:hint="eastAsia"/>
          <w:b/>
          <w:bCs/>
          <w:kern w:val="2"/>
          <w:sz w:val="32"/>
          <w:szCs w:val="32"/>
        </w:rPr>
        <w:t>1</w:t>
      </w:r>
      <w:r>
        <w:rPr>
          <w:rFonts w:ascii="楷体_GB2312" w:eastAsia="楷体_GB2312" w:hAnsi="楷体_GB2312" w:cs="楷体_GB2312" w:hint="eastAsia"/>
          <w:b/>
          <w:bCs/>
          <w:kern w:val="2"/>
          <w:sz w:val="32"/>
          <w:szCs w:val="32"/>
        </w:rPr>
        <w:t>、档案信息化工作。</w:t>
      </w:r>
      <w:r>
        <w:rPr>
          <w:rFonts w:ascii="仿宋_GB2312" w:eastAsia="仿宋_GB2312" w:hAnsi="仿宋_GB2312" w:cs="仿宋_GB2312" w:hint="eastAsia"/>
          <w:sz w:val="32"/>
        </w:rPr>
        <w:t>202</w:t>
      </w:r>
      <w:r>
        <w:rPr>
          <w:rFonts w:ascii="仿宋_GB2312" w:eastAsia="仿宋_GB2312" w:hAnsi="仿宋_GB2312" w:cs="仿宋_GB2312" w:hint="eastAsia"/>
          <w:sz w:val="32"/>
        </w:rPr>
        <w:t>3</w:t>
      </w:r>
      <w:r>
        <w:rPr>
          <w:rFonts w:ascii="仿宋_GB2312" w:eastAsia="仿宋_GB2312" w:hAnsi="仿宋_GB2312" w:cs="仿宋_GB2312" w:hint="eastAsia"/>
          <w:sz w:val="32"/>
        </w:rPr>
        <w:t>年争取完成两万条以上。档案馆工作人员要熟练掌握纸质目录及档案电子管理软件两种查档操作，提升查准率、查全率，缩短查档时间，以提高馆藏档案的提供利用效率</w:t>
      </w:r>
      <w:r>
        <w:rPr>
          <w:rFonts w:ascii="仿宋_GB2312" w:eastAsia="仿宋_GB2312" w:hAnsi="仿宋_GB2312" w:cs="仿宋_GB2312" w:hint="eastAsia"/>
          <w:sz w:val="32"/>
        </w:rPr>
        <w:t>.</w:t>
      </w:r>
    </w:p>
    <w:p w:rsidR="000E448E" w:rsidRDefault="006F7A5B" w:rsidP="00E273FE">
      <w:pPr>
        <w:pStyle w:val="a7"/>
        <w:widowControl/>
        <w:shd w:val="clear" w:color="auto" w:fill="FFFFFF"/>
        <w:tabs>
          <w:tab w:val="left" w:pos="0"/>
        </w:tabs>
        <w:spacing w:before="0" w:beforeAutospacing="0" w:after="0" w:afterAutospacing="0" w:line="405" w:lineRule="atLeast"/>
        <w:ind w:firstLineChars="200" w:firstLine="640"/>
        <w:rPr>
          <w:rFonts w:ascii="仿宋_GB2312" w:eastAsia="仿宋_GB2312" w:hAnsi="仿宋_GB2312" w:cs="仿宋_GB2312"/>
          <w:sz w:val="32"/>
        </w:rPr>
      </w:pPr>
      <w:r>
        <w:rPr>
          <w:rFonts w:ascii="楷体_GB2312" w:eastAsia="楷体_GB2312" w:hAnsi="楷体_GB2312" w:cs="楷体_GB2312" w:hint="eastAsia"/>
          <w:b/>
          <w:bCs/>
          <w:kern w:val="2"/>
          <w:sz w:val="32"/>
          <w:szCs w:val="32"/>
        </w:rPr>
        <w:t>2</w:t>
      </w:r>
      <w:r>
        <w:rPr>
          <w:rFonts w:ascii="楷体_GB2312" w:eastAsia="楷体_GB2312" w:hAnsi="楷体_GB2312" w:cs="楷体_GB2312" w:hint="eastAsia"/>
          <w:b/>
          <w:bCs/>
          <w:kern w:val="2"/>
          <w:sz w:val="32"/>
          <w:szCs w:val="32"/>
        </w:rPr>
        <w:t>、接收档案进馆。</w:t>
      </w:r>
      <w:r>
        <w:rPr>
          <w:rFonts w:ascii="仿宋_GB2312" w:eastAsia="仿宋_GB2312" w:hAnsi="仿宋_GB2312" w:cs="仿宋_GB2312" w:hint="eastAsia"/>
          <w:sz w:val="32"/>
        </w:rPr>
        <w:t>根据我县馆库实际情况，接收部分单位的文书档案进馆，对接收的档案进行微机著录、全文扫描等工作。</w:t>
      </w:r>
    </w:p>
    <w:p w:rsidR="000E448E" w:rsidRDefault="006F7A5B" w:rsidP="00E273FE">
      <w:pPr>
        <w:pStyle w:val="a7"/>
        <w:widowControl/>
        <w:shd w:val="clear" w:color="auto" w:fill="FFFFFF"/>
        <w:tabs>
          <w:tab w:val="left" w:pos="0"/>
        </w:tabs>
        <w:spacing w:before="0" w:beforeAutospacing="0" w:after="0" w:afterAutospacing="0" w:line="405" w:lineRule="atLeast"/>
        <w:ind w:firstLineChars="200" w:firstLine="640"/>
        <w:rPr>
          <w:rFonts w:ascii="楷体_GB2312" w:eastAsia="楷体_GB2312" w:hAnsi="楷体_GB2312" w:cs="楷体_GB2312"/>
          <w:kern w:val="2"/>
          <w:sz w:val="32"/>
          <w:szCs w:val="32"/>
        </w:rPr>
      </w:pPr>
      <w:r>
        <w:rPr>
          <w:rFonts w:ascii="楷体_GB2312" w:eastAsia="楷体_GB2312" w:hAnsi="楷体_GB2312" w:cs="楷体_GB2312" w:hint="eastAsia"/>
          <w:b/>
          <w:bCs/>
          <w:kern w:val="2"/>
          <w:sz w:val="32"/>
          <w:szCs w:val="32"/>
        </w:rPr>
        <w:t>3</w:t>
      </w:r>
      <w:r>
        <w:rPr>
          <w:rFonts w:ascii="楷体_GB2312" w:eastAsia="楷体_GB2312" w:hAnsi="楷体_GB2312" w:cs="楷体_GB2312" w:hint="eastAsia"/>
          <w:b/>
          <w:bCs/>
          <w:kern w:val="2"/>
          <w:sz w:val="32"/>
          <w:szCs w:val="32"/>
        </w:rPr>
        <w:t>、档案馆搬迁建设。</w:t>
      </w:r>
      <w:r>
        <w:rPr>
          <w:rFonts w:ascii="仿宋_GB2312" w:eastAsia="仿宋_GB2312" w:hAnsi="仿宋_GB2312" w:cs="仿宋_GB2312" w:hint="eastAsia"/>
          <w:sz w:val="32"/>
        </w:rPr>
        <w:t>筹措档案馆整体搬迁资金，尽快启动档案馆搬迁工作。</w:t>
      </w:r>
    </w:p>
    <w:p w:rsidR="000E448E" w:rsidRDefault="006F7A5B" w:rsidP="00E273FE">
      <w:pPr>
        <w:pStyle w:val="a7"/>
        <w:widowControl/>
        <w:shd w:val="clear" w:color="auto" w:fill="FFFFFF"/>
        <w:tabs>
          <w:tab w:val="left" w:pos="0"/>
        </w:tabs>
        <w:spacing w:before="0" w:beforeAutospacing="0" w:after="0" w:afterAutospacing="0" w:line="405" w:lineRule="atLeast"/>
        <w:ind w:firstLineChars="200" w:firstLine="640"/>
        <w:rPr>
          <w:rFonts w:ascii="仿宋_GB2312" w:eastAsia="仿宋_GB2312" w:hAnsi="仿宋_GB2312" w:cs="仿宋_GB2312"/>
          <w:b/>
          <w:color w:val="333333"/>
          <w:sz w:val="32"/>
          <w:szCs w:val="32"/>
          <w:shd w:val="clear" w:color="auto" w:fill="FFFFFF"/>
        </w:rPr>
      </w:pPr>
      <w:r>
        <w:rPr>
          <w:rFonts w:ascii="楷体_GB2312" w:eastAsia="楷体_GB2312" w:hAnsi="楷体_GB2312" w:cs="楷体_GB2312" w:hint="eastAsia"/>
          <w:b/>
          <w:bCs/>
          <w:kern w:val="2"/>
          <w:sz w:val="32"/>
          <w:szCs w:val="32"/>
        </w:rPr>
        <w:t>4</w:t>
      </w:r>
      <w:r>
        <w:rPr>
          <w:rFonts w:ascii="楷体_GB2312" w:eastAsia="楷体_GB2312" w:hAnsi="楷体_GB2312" w:cs="楷体_GB2312" w:hint="eastAsia"/>
          <w:b/>
          <w:bCs/>
          <w:kern w:val="2"/>
          <w:sz w:val="32"/>
          <w:szCs w:val="32"/>
        </w:rPr>
        <w:t>、加强提供利用工作。</w:t>
      </w:r>
      <w:r>
        <w:rPr>
          <w:rFonts w:ascii="仿宋_GB2312" w:eastAsia="仿宋_GB2312" w:hAnsi="仿宋_GB2312" w:cs="仿宋_GB2312" w:hint="eastAsia"/>
          <w:sz w:val="32"/>
        </w:rPr>
        <w:t>完成应开放档案的鉴定开放工作，进一步加强档案提供利用服务工作。</w:t>
      </w:r>
    </w:p>
    <w:p w:rsidR="000E448E" w:rsidRDefault="006F7A5B" w:rsidP="00E273FE">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w:t>
      </w:r>
      <w:r>
        <w:rPr>
          <w:rFonts w:ascii="楷体_GB2312" w:eastAsia="楷体_GB2312" w:cs="Times New Roman" w:hint="eastAsia"/>
          <w:b/>
          <w:sz w:val="32"/>
          <w:szCs w:val="32"/>
        </w:rPr>
        <w:t>二</w:t>
      </w:r>
      <w:r>
        <w:rPr>
          <w:rFonts w:ascii="楷体_GB2312" w:eastAsia="楷体_GB2312" w:cs="Times New Roman" w:hint="eastAsia"/>
          <w:b/>
          <w:sz w:val="32"/>
          <w:szCs w:val="32"/>
        </w:rPr>
        <w:t>）</w:t>
      </w:r>
      <w:r>
        <w:rPr>
          <w:rFonts w:ascii="楷体_GB2312" w:eastAsia="楷体_GB2312" w:cs="Times New Roman" w:hint="eastAsia"/>
          <w:b/>
          <w:sz w:val="32"/>
          <w:szCs w:val="32"/>
        </w:rPr>
        <w:t>分项绩效目标</w:t>
      </w:r>
    </w:p>
    <w:p w:rsidR="000E448E" w:rsidRDefault="006F7A5B" w:rsidP="00E273F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1</w:t>
      </w:r>
      <w:r>
        <w:rPr>
          <w:rFonts w:ascii="楷体_GB2312" w:eastAsia="楷体_GB2312" w:hAnsi="楷体_GB2312" w:cs="楷体_GB2312" w:hint="eastAsia"/>
          <w:b/>
          <w:bCs/>
          <w:sz w:val="32"/>
          <w:szCs w:val="32"/>
        </w:rPr>
        <w:t>、加强档案库房管理。</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绩效目标：提高县档案馆建设水平，做好重点档案抢救和保护，加强全县档案信息化，各类数据库建设。</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绩效指标：对馆藏档案进行加工、转换、备份，加强信息安全等级保护工作及特殊载体保管。</w:t>
      </w:r>
    </w:p>
    <w:p w:rsidR="000E448E" w:rsidRDefault="006F7A5B" w:rsidP="00E273F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档案馆搬迁建设。</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绩效目标：增加库房建设面积，库房建设符合国家标准，分区合理，定期调控和记录库房温湿度，设备不出现故障，档案保管环境和保障条件进一步优化，维护档案状况，确保机关和档案绝对安全。</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绩效指标：</w:t>
      </w:r>
      <w:r>
        <w:rPr>
          <w:rFonts w:ascii="仿宋_GB2312" w:eastAsia="仿宋_GB2312" w:hAnsi="仿宋_GB2312" w:cs="仿宋_GB2312" w:hint="eastAsia"/>
          <w:sz w:val="32"/>
        </w:rPr>
        <w:t>筹措档案馆整体搬迁资金，尽快启动档案馆搬迁工作，</w:t>
      </w:r>
      <w:r>
        <w:rPr>
          <w:rFonts w:ascii="仿宋_GB2312" w:eastAsia="仿宋_GB2312" w:hAnsi="仿宋_GB2312" w:cs="仿宋_GB2312" w:hint="eastAsia"/>
          <w:sz w:val="32"/>
        </w:rPr>
        <w:t>档案设施设备完好率不低于</w:t>
      </w:r>
      <w:r>
        <w:rPr>
          <w:rFonts w:ascii="仿宋_GB2312" w:eastAsia="仿宋_GB2312" w:hAnsi="仿宋_GB2312" w:cs="仿宋_GB2312" w:hint="eastAsia"/>
          <w:sz w:val="32"/>
        </w:rPr>
        <w:t>95%</w:t>
      </w:r>
      <w:r>
        <w:rPr>
          <w:rFonts w:ascii="仿宋_GB2312" w:eastAsia="仿宋_GB2312" w:hAnsi="仿宋_GB2312" w:cs="仿宋_GB2312" w:hint="eastAsia"/>
          <w:sz w:val="32"/>
        </w:rPr>
        <w:t>。</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、档案信息化工作。</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绩效目标：应用各种技术手段，对档案资料进行管护和数字化转换，重现档案原貌，最大限度地延长档案寿命。建立专题档案全文数据库，便于开发利用，为社会公众服务。</w:t>
      </w:r>
    </w:p>
    <w:p w:rsidR="000E448E" w:rsidRDefault="006F7A5B">
      <w:pPr>
        <w:spacing w:line="584"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绩效指标：大力增加数字化档案扫描设备、人员，超额完成数字化档案信息录</w:t>
      </w:r>
      <w:r>
        <w:rPr>
          <w:rFonts w:ascii="仿宋_GB2312" w:eastAsia="仿宋_GB2312" w:hAnsi="仿宋_GB2312" w:cs="仿宋_GB2312" w:hint="eastAsia"/>
          <w:sz w:val="32"/>
        </w:rPr>
        <w:t>入工作；年度内已建立的专题档案全文数据库量占计划量的比例不低于</w:t>
      </w:r>
      <w:r>
        <w:rPr>
          <w:rFonts w:ascii="仿宋_GB2312" w:eastAsia="仿宋_GB2312" w:hAnsi="仿宋_GB2312" w:cs="仿宋_GB2312" w:hint="eastAsia"/>
          <w:sz w:val="32"/>
        </w:rPr>
        <w:t>95%</w:t>
      </w:r>
      <w:r>
        <w:rPr>
          <w:rFonts w:ascii="仿宋_GB2312" w:eastAsia="仿宋_GB2312" w:hAnsi="仿宋_GB2312" w:cs="仿宋_GB2312" w:hint="eastAsia"/>
          <w:sz w:val="32"/>
        </w:rPr>
        <w:t>。</w:t>
      </w:r>
    </w:p>
    <w:p w:rsidR="000E448E" w:rsidRDefault="006F7A5B" w:rsidP="00E273FE">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w:t>
      </w:r>
      <w:r>
        <w:rPr>
          <w:rFonts w:ascii="楷体_GB2312" w:eastAsia="楷体_GB2312" w:cs="Times New Roman" w:hint="eastAsia"/>
          <w:b/>
          <w:sz w:val="32"/>
          <w:szCs w:val="32"/>
        </w:rPr>
        <w:t>三</w:t>
      </w:r>
      <w:r>
        <w:rPr>
          <w:rFonts w:ascii="楷体_GB2312" w:eastAsia="楷体_GB2312" w:cs="Times New Roman" w:hint="eastAsia"/>
          <w:b/>
          <w:sz w:val="32"/>
          <w:szCs w:val="32"/>
        </w:rPr>
        <w:t>）</w:t>
      </w:r>
      <w:r>
        <w:rPr>
          <w:rFonts w:ascii="楷体_GB2312" w:eastAsia="楷体_GB2312" w:cs="Times New Roman" w:hint="eastAsia"/>
          <w:b/>
          <w:sz w:val="32"/>
          <w:szCs w:val="32"/>
        </w:rPr>
        <w:t>工作保障措施</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为进一步加强我馆档案管理工作，提升档案管理水平，确保县档案馆档案资料完整安全，县档案馆按照上级档案管理规定，完善档案管理制度，细化工作职责，加快档案管理标准化、科学化、制度化进程。</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楷体_GB2312" w:eastAsia="楷体_GB2312" w:hAnsi="楷体_GB2312" w:cs="楷体_GB2312" w:hint="eastAsia"/>
          <w:b/>
          <w:bCs/>
          <w:sz w:val="32"/>
          <w:szCs w:val="32"/>
        </w:rPr>
        <w:t>1</w:t>
      </w:r>
      <w:r>
        <w:rPr>
          <w:rFonts w:ascii="楷体_GB2312" w:eastAsia="楷体_GB2312" w:hAnsi="楷体_GB2312" w:cs="楷体_GB2312" w:hint="eastAsia"/>
          <w:b/>
          <w:bCs/>
          <w:sz w:val="32"/>
          <w:szCs w:val="32"/>
        </w:rPr>
        <w:t>、通过学习，加强保障。</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lastRenderedPageBreak/>
        <w:t>学习党的十九大文件、习近平同志系列讲话和上级各部门的指示精神，通过学习树立档案姓党、为党守史、为民服务的宗旨，明确专职档案管理人员职责，为全馆档案管理规范化提供了人力保障。</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楷体_GB2312" w:eastAsia="楷体_GB2312" w:hAnsi="楷体_GB2312" w:cs="楷体_GB2312" w:hint="eastAsia"/>
          <w:b/>
          <w:bCs/>
          <w:sz w:val="32"/>
          <w:szCs w:val="32"/>
        </w:rPr>
        <w:t>2</w:t>
      </w:r>
      <w:r>
        <w:rPr>
          <w:rFonts w:ascii="楷体_GB2312" w:eastAsia="楷体_GB2312" w:hAnsi="楷体_GB2312" w:cs="楷体_GB2312" w:hint="eastAsia"/>
          <w:b/>
          <w:bCs/>
          <w:sz w:val="32"/>
          <w:szCs w:val="32"/>
        </w:rPr>
        <w:t>、制定切实可行的工作计划、实施方案为各项工作的开展和圆满完成提供指引、方法和保障。</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健全制度，规范管理程序。结合实际和上级要求进一步健全档案管理相应的规章制度，从档案收集、整理、立卷、归档、保管、统计、借阅、利用、安全、保密等环节进行规范。确保各类档案收集齐全、整理规范、保管有序。</w:t>
      </w:r>
    </w:p>
    <w:p w:rsidR="000E448E" w:rsidRDefault="006F7A5B" w:rsidP="00E273FE">
      <w:pPr>
        <w:spacing w:line="584"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3</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继续加强党建和机关作风整顿工作。</w:t>
      </w:r>
    </w:p>
    <w:p w:rsidR="000E448E" w:rsidRDefault="006F7A5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00" w:lineRule="exact"/>
        <w:ind w:firstLine="560"/>
        <w:rPr>
          <w:rFonts w:ascii="仿宋_GB2312" w:eastAsia="仿宋_GB2312" w:hAnsi="仿宋_GB2312" w:cs="仿宋_GB2312"/>
          <w:sz w:val="32"/>
        </w:rPr>
      </w:pPr>
      <w:r>
        <w:rPr>
          <w:rFonts w:ascii="仿宋_GB2312" w:eastAsia="仿宋_GB2312" w:hAnsi="仿宋_GB2312" w:cs="仿宋_GB2312" w:hint="eastAsia"/>
          <w:sz w:val="32"/>
        </w:rPr>
        <w:t>强化坚守规范，加强档案借阅程序管理。根据档案管理和保密法要求，在全馆内部开展档案管理和保密工作自查，严格按照规定程序，做好查阅登记，做到档案交接有记录、履行清点有手续，并登记造册，确保档案和涉密信息的安全。</w:t>
      </w:r>
    </w:p>
    <w:p w:rsidR="000E448E" w:rsidRDefault="006F7A5B" w:rsidP="00E273FE">
      <w:pPr>
        <w:spacing w:line="584"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4</w:t>
      </w: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继续完善制度建设，强化工作督导。</w:t>
      </w:r>
    </w:p>
    <w:p w:rsidR="000E448E" w:rsidRDefault="006F7A5B">
      <w:pPr>
        <w:spacing w:line="584"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rPr>
        <w:t>加强制度建设，规范档案管理。进一步加强档案管理制度建设，规范机关文书档案管理，明确档案工作的职责和任务，以及归档范围及整理要求，做好目录索引，统一装订格式，严把档案归档质量关。</w:t>
      </w:r>
    </w:p>
    <w:p w:rsidR="000E448E" w:rsidRDefault="006F7A5B" w:rsidP="00E273FE">
      <w:pPr>
        <w:overflowPunct w:val="0"/>
        <w:adjustRightInd w:val="0"/>
        <w:snapToGrid w:val="0"/>
        <w:spacing w:afterLines="50" w:line="580" w:lineRule="exact"/>
        <w:ind w:firstLineChars="100" w:firstLine="320"/>
        <w:jc w:val="left"/>
        <w:rPr>
          <w:rFonts w:ascii="楷体_GB2312" w:eastAsia="楷体_GB2312" w:cs="Times New Roman"/>
          <w:b/>
          <w:sz w:val="32"/>
          <w:szCs w:val="32"/>
        </w:rPr>
      </w:pPr>
      <w:r>
        <w:rPr>
          <w:rFonts w:ascii="楷体_GB2312" w:eastAsia="楷体_GB2312" w:cs="Times New Roman" w:hint="eastAsia"/>
          <w:b/>
          <w:sz w:val="32"/>
          <w:szCs w:val="32"/>
        </w:rPr>
        <w:t>（</w:t>
      </w:r>
      <w:r>
        <w:rPr>
          <w:rFonts w:ascii="楷体_GB2312" w:eastAsia="楷体_GB2312" w:cs="Times New Roman" w:hint="eastAsia"/>
          <w:b/>
          <w:sz w:val="32"/>
          <w:szCs w:val="32"/>
        </w:rPr>
        <w:t>四</w:t>
      </w:r>
      <w:r>
        <w:rPr>
          <w:rFonts w:ascii="楷体_GB2312" w:eastAsia="楷体_GB2312" w:cs="Times New Roman" w:hint="eastAsia"/>
          <w:b/>
          <w:sz w:val="32"/>
          <w:szCs w:val="32"/>
        </w:rPr>
        <w:t>）</w:t>
      </w:r>
      <w:r>
        <w:rPr>
          <w:rFonts w:ascii="楷体_GB2312" w:eastAsia="楷体_GB2312" w:cs="Times New Roman" w:hint="eastAsia"/>
          <w:b/>
          <w:sz w:val="32"/>
          <w:szCs w:val="32"/>
        </w:rPr>
        <w:t>部门整体支出绩效指标</w:t>
      </w:r>
    </w:p>
    <w:p w:rsidR="000E448E" w:rsidRDefault="000E448E" w:rsidP="00E273FE">
      <w:pPr>
        <w:overflowPunct w:val="0"/>
        <w:adjustRightInd w:val="0"/>
        <w:snapToGrid w:val="0"/>
        <w:spacing w:afterLines="50" w:line="580" w:lineRule="exact"/>
        <w:jc w:val="left"/>
        <w:rPr>
          <w:rFonts w:ascii="楷体_GB2312" w:eastAsia="楷体_GB2312" w:cs="Times New Roman"/>
          <w:b/>
          <w:sz w:val="32"/>
          <w:szCs w:val="32"/>
        </w:rPr>
      </w:pPr>
    </w:p>
    <w:p w:rsidR="000E448E" w:rsidRDefault="000E448E" w:rsidP="00E273FE">
      <w:pPr>
        <w:overflowPunct w:val="0"/>
        <w:adjustRightInd w:val="0"/>
        <w:snapToGrid w:val="0"/>
        <w:spacing w:afterLines="50" w:line="580" w:lineRule="exact"/>
        <w:jc w:val="left"/>
        <w:rPr>
          <w:rFonts w:ascii="楷体_GB2312" w:eastAsia="楷体_GB2312" w:cs="Times New Roman"/>
          <w:b/>
          <w:sz w:val="32"/>
          <w:szCs w:val="32"/>
        </w:rPr>
      </w:pPr>
    </w:p>
    <w:tbl>
      <w:tblPr>
        <w:tblW w:w="11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1635"/>
        <w:gridCol w:w="1063"/>
        <w:gridCol w:w="1774"/>
        <w:gridCol w:w="2235"/>
        <w:gridCol w:w="425"/>
        <w:gridCol w:w="900"/>
        <w:gridCol w:w="1043"/>
        <w:gridCol w:w="2426"/>
      </w:tblGrid>
      <w:tr w:rsidR="000E448E">
        <w:trPr>
          <w:trHeight w:val="326"/>
          <w:tblHeader/>
          <w:jc w:val="center"/>
        </w:trPr>
        <w:tc>
          <w:tcPr>
            <w:tcW w:w="1635" w:type="dxa"/>
            <w:vMerge w:val="restart"/>
            <w:tcBorders>
              <w:tl2br w:val="nil"/>
              <w:tr2bl w:val="nil"/>
            </w:tcBorders>
            <w:vAlign w:val="center"/>
          </w:tcPr>
          <w:p w:rsidR="000E448E" w:rsidRDefault="006F7A5B">
            <w:pPr>
              <w:widowControl/>
              <w:jc w:val="center"/>
              <w:textAlignment w:val="center"/>
              <w:rPr>
                <w:rFonts w:ascii="方正书宋_GBK" w:eastAsia="方正书宋_GBK"/>
                <w:b/>
              </w:rPr>
            </w:pPr>
            <w:r>
              <w:rPr>
                <w:rFonts w:ascii="宋体" w:hAnsi="宋体" w:cs="宋体" w:hint="eastAsia"/>
                <w:b/>
                <w:color w:val="000000"/>
                <w:kern w:val="0"/>
                <w:sz w:val="18"/>
                <w:szCs w:val="18"/>
                <w:lang/>
              </w:rPr>
              <w:lastRenderedPageBreak/>
              <w:t>一级指标</w:t>
            </w:r>
          </w:p>
        </w:tc>
        <w:tc>
          <w:tcPr>
            <w:tcW w:w="1063" w:type="dxa"/>
            <w:vMerge w:val="restart"/>
            <w:tcBorders>
              <w:tl2br w:val="nil"/>
              <w:tr2bl w:val="nil"/>
            </w:tcBorders>
            <w:vAlign w:val="center"/>
          </w:tcPr>
          <w:p w:rsidR="000E448E" w:rsidRDefault="006F7A5B">
            <w:pPr>
              <w:widowControl/>
              <w:jc w:val="center"/>
              <w:textAlignment w:val="center"/>
              <w:rPr>
                <w:rFonts w:ascii="方正书宋_GBK" w:eastAsia="方正书宋_GBK"/>
                <w:b/>
              </w:rPr>
            </w:pPr>
            <w:r>
              <w:rPr>
                <w:rFonts w:ascii="宋体" w:hAnsi="宋体" w:cs="宋体" w:hint="eastAsia"/>
                <w:b/>
                <w:color w:val="000000"/>
                <w:kern w:val="0"/>
                <w:sz w:val="18"/>
                <w:szCs w:val="18"/>
                <w:lang/>
              </w:rPr>
              <w:t>二级指标</w:t>
            </w:r>
          </w:p>
        </w:tc>
        <w:tc>
          <w:tcPr>
            <w:tcW w:w="1774" w:type="dxa"/>
            <w:vMerge w:val="restart"/>
            <w:tcBorders>
              <w:tl2br w:val="nil"/>
              <w:tr2bl w:val="nil"/>
            </w:tcBorders>
            <w:vAlign w:val="center"/>
          </w:tcPr>
          <w:p w:rsidR="000E448E" w:rsidRDefault="006F7A5B">
            <w:pPr>
              <w:widowControl/>
              <w:jc w:val="center"/>
              <w:textAlignment w:val="center"/>
              <w:rPr>
                <w:rFonts w:ascii="方正书宋_GBK" w:eastAsia="方正书宋_GBK"/>
                <w:b/>
              </w:rPr>
            </w:pPr>
            <w:r>
              <w:rPr>
                <w:rFonts w:ascii="宋体" w:hAnsi="宋体" w:cs="宋体" w:hint="eastAsia"/>
                <w:b/>
                <w:color w:val="000000"/>
                <w:kern w:val="0"/>
                <w:sz w:val="18"/>
                <w:szCs w:val="18"/>
                <w:lang/>
              </w:rPr>
              <w:t>三级指标</w:t>
            </w:r>
          </w:p>
        </w:tc>
        <w:tc>
          <w:tcPr>
            <w:tcW w:w="2235" w:type="dxa"/>
            <w:vMerge w:val="restart"/>
            <w:tcBorders>
              <w:tl2br w:val="nil"/>
              <w:tr2bl w:val="nil"/>
            </w:tcBorders>
            <w:vAlign w:val="center"/>
          </w:tcPr>
          <w:p w:rsidR="000E448E" w:rsidRDefault="006F7A5B">
            <w:pPr>
              <w:widowControl/>
              <w:jc w:val="center"/>
              <w:textAlignment w:val="center"/>
              <w:rPr>
                <w:rFonts w:ascii="方正书宋_GBK" w:eastAsia="方正书宋_GBK"/>
                <w:b/>
              </w:rPr>
            </w:pPr>
            <w:r>
              <w:rPr>
                <w:rFonts w:ascii="宋体" w:hAnsi="宋体" w:cs="宋体" w:hint="eastAsia"/>
                <w:b/>
                <w:color w:val="000000"/>
                <w:kern w:val="0"/>
                <w:sz w:val="18"/>
                <w:szCs w:val="18"/>
                <w:lang/>
              </w:rPr>
              <w:t>绩效指标描述</w:t>
            </w:r>
          </w:p>
        </w:tc>
        <w:tc>
          <w:tcPr>
            <w:tcW w:w="2368" w:type="dxa"/>
            <w:gridSpan w:val="3"/>
            <w:tcBorders>
              <w:tl2br w:val="nil"/>
              <w:tr2bl w:val="nil"/>
            </w:tcBorders>
            <w:vAlign w:val="center"/>
          </w:tcPr>
          <w:p w:rsidR="000E448E" w:rsidRDefault="006F7A5B">
            <w:pPr>
              <w:widowControl/>
              <w:jc w:val="center"/>
              <w:textAlignment w:val="center"/>
              <w:rPr>
                <w:rFonts w:ascii="方正书宋_GBK" w:eastAsia="方正书宋_GBK"/>
                <w:b/>
              </w:rPr>
            </w:pPr>
            <w:r>
              <w:rPr>
                <w:rFonts w:ascii="宋体" w:hAnsi="宋体" w:cs="宋体" w:hint="eastAsia"/>
                <w:b/>
                <w:color w:val="000000"/>
                <w:kern w:val="0"/>
                <w:sz w:val="18"/>
                <w:szCs w:val="18"/>
                <w:lang/>
              </w:rPr>
              <w:t>指标值</w:t>
            </w:r>
          </w:p>
        </w:tc>
        <w:tc>
          <w:tcPr>
            <w:tcW w:w="2426" w:type="dxa"/>
            <w:vMerge w:val="restart"/>
            <w:tcBorders>
              <w:tl2br w:val="nil"/>
              <w:tr2bl w:val="nil"/>
            </w:tcBorders>
            <w:vAlign w:val="center"/>
          </w:tcPr>
          <w:p w:rsidR="000E448E" w:rsidRDefault="006F7A5B">
            <w:pPr>
              <w:widowControl/>
              <w:jc w:val="center"/>
              <w:textAlignment w:val="center"/>
              <w:rPr>
                <w:rFonts w:ascii="方正书宋_GBK" w:eastAsia="方正书宋_GBK"/>
                <w:b/>
              </w:rPr>
            </w:pPr>
            <w:r>
              <w:rPr>
                <w:rFonts w:ascii="宋体" w:hAnsi="宋体" w:cs="宋体" w:hint="eastAsia"/>
                <w:b/>
                <w:color w:val="000000"/>
                <w:kern w:val="0"/>
                <w:sz w:val="18"/>
                <w:szCs w:val="18"/>
                <w:lang/>
              </w:rPr>
              <w:t>指标值确定依据</w:t>
            </w:r>
          </w:p>
        </w:tc>
      </w:tr>
      <w:tr w:rsidR="000E448E">
        <w:trPr>
          <w:trHeight w:val="533"/>
          <w:tblHeader/>
          <w:jc w:val="center"/>
        </w:trPr>
        <w:tc>
          <w:tcPr>
            <w:tcW w:w="1635" w:type="dxa"/>
            <w:vMerge/>
            <w:tcBorders>
              <w:tl2br w:val="nil"/>
              <w:tr2bl w:val="nil"/>
            </w:tcBorders>
            <w:vAlign w:val="center"/>
          </w:tcPr>
          <w:p w:rsidR="000E448E" w:rsidRDefault="000E448E">
            <w:pPr>
              <w:jc w:val="center"/>
            </w:pPr>
          </w:p>
        </w:tc>
        <w:tc>
          <w:tcPr>
            <w:tcW w:w="1063" w:type="dxa"/>
            <w:vMerge/>
            <w:tcBorders>
              <w:tl2br w:val="nil"/>
              <w:tr2bl w:val="nil"/>
            </w:tcBorders>
            <w:vAlign w:val="center"/>
          </w:tcPr>
          <w:p w:rsidR="000E448E" w:rsidRDefault="000E448E">
            <w:pPr>
              <w:jc w:val="center"/>
            </w:pPr>
          </w:p>
        </w:tc>
        <w:tc>
          <w:tcPr>
            <w:tcW w:w="1774" w:type="dxa"/>
            <w:vMerge/>
            <w:tcBorders>
              <w:tl2br w:val="nil"/>
              <w:tr2bl w:val="nil"/>
            </w:tcBorders>
            <w:vAlign w:val="center"/>
          </w:tcPr>
          <w:p w:rsidR="000E448E" w:rsidRDefault="000E448E">
            <w:pPr>
              <w:jc w:val="center"/>
            </w:pPr>
          </w:p>
        </w:tc>
        <w:tc>
          <w:tcPr>
            <w:tcW w:w="2235" w:type="dxa"/>
            <w:vMerge/>
            <w:tcBorders>
              <w:tl2br w:val="nil"/>
              <w:tr2bl w:val="nil"/>
            </w:tcBorders>
            <w:vAlign w:val="center"/>
          </w:tcPr>
          <w:p w:rsidR="000E448E" w:rsidRDefault="000E448E">
            <w:pPr>
              <w:jc w:val="center"/>
            </w:pPr>
          </w:p>
        </w:tc>
        <w:tc>
          <w:tcPr>
            <w:tcW w:w="425" w:type="dxa"/>
            <w:tcBorders>
              <w:tl2br w:val="nil"/>
              <w:tr2bl w:val="nil"/>
            </w:tcBorders>
            <w:vAlign w:val="center"/>
          </w:tcPr>
          <w:p w:rsidR="000E448E" w:rsidRDefault="006F7A5B">
            <w:pPr>
              <w:widowControl/>
              <w:jc w:val="center"/>
              <w:textAlignment w:val="center"/>
            </w:pPr>
            <w:r>
              <w:rPr>
                <w:rFonts w:ascii="宋体" w:hAnsi="宋体" w:cs="宋体" w:hint="eastAsia"/>
                <w:b/>
                <w:color w:val="000000"/>
                <w:kern w:val="0"/>
                <w:sz w:val="18"/>
                <w:szCs w:val="18"/>
                <w:lang/>
              </w:rPr>
              <w:t>符号</w:t>
            </w:r>
          </w:p>
        </w:tc>
        <w:tc>
          <w:tcPr>
            <w:tcW w:w="900" w:type="dxa"/>
            <w:tcBorders>
              <w:tl2br w:val="nil"/>
              <w:tr2bl w:val="nil"/>
            </w:tcBorders>
            <w:vAlign w:val="center"/>
          </w:tcPr>
          <w:p w:rsidR="000E448E" w:rsidRDefault="006F7A5B">
            <w:pPr>
              <w:widowControl/>
              <w:jc w:val="center"/>
              <w:textAlignment w:val="center"/>
            </w:pPr>
            <w:r>
              <w:rPr>
                <w:rFonts w:ascii="宋体" w:hAnsi="宋体" w:cs="宋体" w:hint="eastAsia"/>
                <w:b/>
                <w:color w:val="000000"/>
                <w:kern w:val="0"/>
                <w:sz w:val="18"/>
                <w:szCs w:val="18"/>
                <w:lang/>
              </w:rPr>
              <w:t>值</w:t>
            </w:r>
          </w:p>
        </w:tc>
        <w:tc>
          <w:tcPr>
            <w:tcW w:w="1043" w:type="dxa"/>
            <w:tcBorders>
              <w:tl2br w:val="nil"/>
              <w:tr2bl w:val="nil"/>
            </w:tcBorders>
            <w:vAlign w:val="center"/>
          </w:tcPr>
          <w:p w:rsidR="000E448E" w:rsidRDefault="006F7A5B">
            <w:pPr>
              <w:widowControl/>
              <w:jc w:val="center"/>
              <w:textAlignment w:val="center"/>
            </w:pPr>
            <w:r>
              <w:rPr>
                <w:rFonts w:ascii="宋体" w:hAnsi="宋体" w:cs="宋体" w:hint="eastAsia"/>
                <w:b/>
                <w:color w:val="000000"/>
                <w:kern w:val="0"/>
                <w:sz w:val="18"/>
                <w:szCs w:val="18"/>
                <w:lang/>
              </w:rPr>
              <w:t>单位（文字描述）</w:t>
            </w:r>
          </w:p>
        </w:tc>
        <w:tc>
          <w:tcPr>
            <w:tcW w:w="2426" w:type="dxa"/>
            <w:vMerge/>
            <w:tcBorders>
              <w:tl2br w:val="nil"/>
              <w:tr2bl w:val="nil"/>
            </w:tcBorders>
            <w:vAlign w:val="center"/>
          </w:tcPr>
          <w:p w:rsidR="000E448E" w:rsidRDefault="000E448E">
            <w:pPr>
              <w:jc w:val="center"/>
              <w:rPr>
                <w:rFonts w:ascii="方正书宋_GBK" w:eastAsia="方正书宋_GBK"/>
                <w:b/>
              </w:rPr>
            </w:pPr>
          </w:p>
        </w:tc>
      </w:tr>
      <w:tr w:rsidR="000E448E">
        <w:trPr>
          <w:trHeight w:val="594"/>
          <w:jc w:val="center"/>
        </w:trPr>
        <w:tc>
          <w:tcPr>
            <w:tcW w:w="1635" w:type="dxa"/>
            <w:vMerge w:val="restart"/>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b/>
                <w:color w:val="000000"/>
                <w:kern w:val="0"/>
                <w:sz w:val="18"/>
                <w:szCs w:val="18"/>
                <w:lang/>
              </w:rPr>
              <w:t>产出指标</w:t>
            </w:r>
          </w:p>
        </w:tc>
        <w:tc>
          <w:tcPr>
            <w:tcW w:w="1063"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数量指标</w:t>
            </w:r>
          </w:p>
        </w:tc>
        <w:tc>
          <w:tcPr>
            <w:tcW w:w="1774"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档案全文数字化录入</w:t>
            </w:r>
          </w:p>
        </w:tc>
        <w:tc>
          <w:tcPr>
            <w:tcW w:w="2235"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档案全文数字化录入数量</w:t>
            </w:r>
          </w:p>
        </w:tc>
        <w:tc>
          <w:tcPr>
            <w:tcW w:w="42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w:t>
            </w:r>
          </w:p>
        </w:tc>
        <w:tc>
          <w:tcPr>
            <w:tcW w:w="900" w:type="dxa"/>
            <w:tcBorders>
              <w:tl2br w:val="nil"/>
              <w:tr2bl w:val="nil"/>
            </w:tcBorders>
            <w:vAlign w:val="center"/>
          </w:tcPr>
          <w:p w:rsidR="000E448E" w:rsidRDefault="006F7A5B">
            <w:pPr>
              <w:widowControl/>
              <w:jc w:val="left"/>
              <w:textAlignment w:val="center"/>
            </w:pPr>
            <w:r>
              <w:rPr>
                <w:rFonts w:ascii="宋体" w:hAnsi="宋体" w:cs="宋体" w:hint="eastAsia"/>
                <w:color w:val="000000"/>
                <w:kern w:val="0"/>
                <w:sz w:val="20"/>
                <w:szCs w:val="20"/>
                <w:lang/>
              </w:rPr>
              <w:t>100000</w:t>
            </w:r>
          </w:p>
        </w:tc>
        <w:tc>
          <w:tcPr>
            <w:tcW w:w="1043" w:type="dxa"/>
            <w:tcBorders>
              <w:tl2br w:val="nil"/>
              <w:tr2bl w:val="nil"/>
            </w:tcBorders>
            <w:vAlign w:val="center"/>
          </w:tcPr>
          <w:p w:rsidR="000E448E" w:rsidRDefault="006F7A5B">
            <w:pPr>
              <w:widowControl/>
              <w:jc w:val="right"/>
              <w:textAlignment w:val="center"/>
            </w:pPr>
            <w:r>
              <w:rPr>
                <w:rFonts w:ascii="宋体" w:hAnsi="宋体" w:cs="宋体" w:hint="eastAsia"/>
                <w:color w:val="000000"/>
                <w:kern w:val="0"/>
                <w:sz w:val="20"/>
                <w:szCs w:val="20"/>
                <w:lang/>
              </w:rPr>
              <w:t>页</w:t>
            </w:r>
          </w:p>
        </w:tc>
        <w:tc>
          <w:tcPr>
            <w:tcW w:w="2426"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参照历史数据</w:t>
            </w:r>
          </w:p>
        </w:tc>
      </w:tr>
      <w:tr w:rsidR="000E448E">
        <w:trPr>
          <w:trHeight w:val="614"/>
          <w:jc w:val="center"/>
        </w:trPr>
        <w:tc>
          <w:tcPr>
            <w:tcW w:w="1635" w:type="dxa"/>
            <w:vMerge/>
            <w:tcBorders>
              <w:tl2br w:val="nil"/>
              <w:tr2bl w:val="nil"/>
            </w:tcBorders>
            <w:vAlign w:val="center"/>
          </w:tcPr>
          <w:p w:rsidR="000E448E" w:rsidRDefault="000E448E">
            <w:pPr>
              <w:jc w:val="center"/>
            </w:pPr>
          </w:p>
        </w:tc>
        <w:tc>
          <w:tcPr>
            <w:tcW w:w="1063"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数量指标</w:t>
            </w:r>
          </w:p>
        </w:tc>
        <w:tc>
          <w:tcPr>
            <w:tcW w:w="1774"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全县档案的接收与整理</w:t>
            </w:r>
          </w:p>
        </w:tc>
        <w:tc>
          <w:tcPr>
            <w:tcW w:w="223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接收整理档案数量</w:t>
            </w:r>
          </w:p>
        </w:tc>
        <w:tc>
          <w:tcPr>
            <w:tcW w:w="42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w:t>
            </w:r>
          </w:p>
        </w:tc>
        <w:tc>
          <w:tcPr>
            <w:tcW w:w="900" w:type="dxa"/>
            <w:tcBorders>
              <w:tl2br w:val="nil"/>
              <w:tr2bl w:val="nil"/>
            </w:tcBorders>
            <w:vAlign w:val="center"/>
          </w:tcPr>
          <w:p w:rsidR="000E448E" w:rsidRDefault="006F7A5B">
            <w:pPr>
              <w:widowControl/>
              <w:jc w:val="left"/>
              <w:textAlignment w:val="center"/>
            </w:pPr>
            <w:r>
              <w:rPr>
                <w:rFonts w:ascii="宋体" w:hAnsi="宋体" w:cs="宋体" w:hint="eastAsia"/>
                <w:color w:val="000000"/>
                <w:kern w:val="0"/>
                <w:sz w:val="20"/>
                <w:szCs w:val="20"/>
                <w:lang/>
              </w:rPr>
              <w:t>3500</w:t>
            </w:r>
          </w:p>
        </w:tc>
        <w:tc>
          <w:tcPr>
            <w:tcW w:w="1043" w:type="dxa"/>
            <w:tcBorders>
              <w:tl2br w:val="nil"/>
              <w:tr2bl w:val="nil"/>
            </w:tcBorders>
            <w:vAlign w:val="center"/>
          </w:tcPr>
          <w:p w:rsidR="000E448E" w:rsidRDefault="006F7A5B">
            <w:pPr>
              <w:widowControl/>
              <w:jc w:val="right"/>
              <w:textAlignment w:val="center"/>
            </w:pPr>
            <w:r>
              <w:rPr>
                <w:rFonts w:ascii="宋体" w:hAnsi="宋体" w:cs="宋体" w:hint="eastAsia"/>
                <w:color w:val="000000"/>
                <w:kern w:val="0"/>
                <w:sz w:val="20"/>
                <w:szCs w:val="20"/>
                <w:lang/>
              </w:rPr>
              <w:t>件</w:t>
            </w:r>
          </w:p>
        </w:tc>
        <w:tc>
          <w:tcPr>
            <w:tcW w:w="2426"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参照历史数据</w:t>
            </w:r>
          </w:p>
        </w:tc>
      </w:tr>
      <w:tr w:rsidR="000E448E">
        <w:trPr>
          <w:trHeight w:val="458"/>
          <w:jc w:val="center"/>
        </w:trPr>
        <w:tc>
          <w:tcPr>
            <w:tcW w:w="1635" w:type="dxa"/>
            <w:vMerge/>
            <w:tcBorders>
              <w:tl2br w:val="nil"/>
              <w:tr2bl w:val="nil"/>
            </w:tcBorders>
            <w:vAlign w:val="center"/>
          </w:tcPr>
          <w:p w:rsidR="000E448E" w:rsidRDefault="000E448E">
            <w:pPr>
              <w:jc w:val="center"/>
            </w:pPr>
          </w:p>
        </w:tc>
        <w:tc>
          <w:tcPr>
            <w:tcW w:w="1063"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数量指标</w:t>
            </w:r>
          </w:p>
        </w:tc>
        <w:tc>
          <w:tcPr>
            <w:tcW w:w="1774"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档案开放与利用</w:t>
            </w:r>
          </w:p>
        </w:tc>
        <w:tc>
          <w:tcPr>
            <w:tcW w:w="2235"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开放与利用档案卷</w:t>
            </w:r>
            <w:r>
              <w:rPr>
                <w:rFonts w:ascii="宋体" w:hAnsi="宋体" w:cs="宋体" w:hint="eastAsia"/>
                <w:color w:val="000000"/>
                <w:kern w:val="0"/>
                <w:sz w:val="20"/>
                <w:szCs w:val="20"/>
                <w:lang/>
              </w:rPr>
              <w:t>(</w:t>
            </w:r>
            <w:r>
              <w:rPr>
                <w:rFonts w:ascii="宋体" w:hAnsi="宋体" w:cs="宋体" w:hint="eastAsia"/>
                <w:color w:val="000000"/>
                <w:kern w:val="0"/>
                <w:sz w:val="20"/>
                <w:szCs w:val="20"/>
                <w:lang/>
              </w:rPr>
              <w:t>件</w:t>
            </w:r>
            <w:r>
              <w:rPr>
                <w:rFonts w:ascii="宋体" w:hAnsi="宋体" w:cs="宋体" w:hint="eastAsia"/>
                <w:color w:val="000000"/>
                <w:kern w:val="0"/>
                <w:sz w:val="20"/>
                <w:szCs w:val="20"/>
                <w:lang/>
              </w:rPr>
              <w:t>)</w:t>
            </w:r>
            <w:r>
              <w:rPr>
                <w:rFonts w:ascii="宋体" w:hAnsi="宋体" w:cs="宋体" w:hint="eastAsia"/>
                <w:color w:val="000000"/>
                <w:kern w:val="0"/>
                <w:sz w:val="20"/>
                <w:szCs w:val="20"/>
                <w:lang/>
              </w:rPr>
              <w:t>数</w:t>
            </w:r>
          </w:p>
        </w:tc>
        <w:tc>
          <w:tcPr>
            <w:tcW w:w="42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w:t>
            </w:r>
          </w:p>
        </w:tc>
        <w:tc>
          <w:tcPr>
            <w:tcW w:w="900" w:type="dxa"/>
            <w:tcBorders>
              <w:tl2br w:val="nil"/>
              <w:tr2bl w:val="nil"/>
            </w:tcBorders>
            <w:vAlign w:val="center"/>
          </w:tcPr>
          <w:p w:rsidR="000E448E" w:rsidRDefault="006F7A5B">
            <w:pPr>
              <w:widowControl/>
              <w:jc w:val="left"/>
              <w:textAlignment w:val="center"/>
            </w:pPr>
            <w:r>
              <w:rPr>
                <w:rFonts w:ascii="宋体" w:hAnsi="宋体" w:cs="宋体" w:hint="eastAsia"/>
                <w:color w:val="000000"/>
                <w:kern w:val="0"/>
                <w:sz w:val="20"/>
                <w:szCs w:val="20"/>
                <w:lang/>
              </w:rPr>
              <w:t>30000</w:t>
            </w:r>
          </w:p>
        </w:tc>
        <w:tc>
          <w:tcPr>
            <w:tcW w:w="1043" w:type="dxa"/>
            <w:tcBorders>
              <w:tl2br w:val="nil"/>
              <w:tr2bl w:val="nil"/>
            </w:tcBorders>
            <w:vAlign w:val="center"/>
          </w:tcPr>
          <w:p w:rsidR="000E448E" w:rsidRDefault="006F7A5B">
            <w:pPr>
              <w:widowControl/>
              <w:jc w:val="right"/>
              <w:textAlignment w:val="center"/>
            </w:pPr>
            <w:r>
              <w:rPr>
                <w:rFonts w:ascii="宋体" w:hAnsi="宋体" w:cs="宋体" w:hint="eastAsia"/>
                <w:color w:val="000000"/>
                <w:kern w:val="0"/>
                <w:sz w:val="20"/>
                <w:szCs w:val="20"/>
                <w:lang/>
              </w:rPr>
              <w:t>件</w:t>
            </w:r>
          </w:p>
        </w:tc>
        <w:tc>
          <w:tcPr>
            <w:tcW w:w="2426"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参照历史数据</w:t>
            </w:r>
          </w:p>
        </w:tc>
      </w:tr>
      <w:tr w:rsidR="000E448E">
        <w:trPr>
          <w:trHeight w:val="614"/>
          <w:jc w:val="center"/>
        </w:trPr>
        <w:tc>
          <w:tcPr>
            <w:tcW w:w="1635" w:type="dxa"/>
            <w:vMerge/>
            <w:tcBorders>
              <w:tl2br w:val="nil"/>
              <w:tr2bl w:val="nil"/>
            </w:tcBorders>
            <w:vAlign w:val="center"/>
          </w:tcPr>
          <w:p w:rsidR="000E448E" w:rsidRDefault="000E448E">
            <w:pPr>
              <w:jc w:val="center"/>
            </w:pPr>
          </w:p>
        </w:tc>
        <w:tc>
          <w:tcPr>
            <w:tcW w:w="1063"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质量指标</w:t>
            </w:r>
          </w:p>
        </w:tc>
        <w:tc>
          <w:tcPr>
            <w:tcW w:w="1774"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正常运转率</w:t>
            </w:r>
          </w:p>
        </w:tc>
        <w:tc>
          <w:tcPr>
            <w:tcW w:w="223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满足并保障在职人员工作生活需求和离退休人员正常生活保障。确保干部职工基本报酬统一政策编制人员经费预算，办公经费不高于部门预算经费标准定额表的政策要求。</w:t>
            </w:r>
          </w:p>
        </w:tc>
        <w:tc>
          <w:tcPr>
            <w:tcW w:w="42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w:t>
            </w:r>
          </w:p>
        </w:tc>
        <w:tc>
          <w:tcPr>
            <w:tcW w:w="900" w:type="dxa"/>
            <w:tcBorders>
              <w:tl2br w:val="nil"/>
              <w:tr2bl w:val="nil"/>
            </w:tcBorders>
            <w:vAlign w:val="center"/>
          </w:tcPr>
          <w:p w:rsidR="000E448E" w:rsidRDefault="006F7A5B">
            <w:pPr>
              <w:widowControl/>
              <w:jc w:val="right"/>
              <w:textAlignment w:val="center"/>
            </w:pPr>
            <w:r>
              <w:rPr>
                <w:rFonts w:ascii="宋体" w:hAnsi="宋体" w:cs="宋体" w:hint="eastAsia"/>
                <w:color w:val="000000"/>
                <w:kern w:val="0"/>
                <w:sz w:val="20"/>
                <w:szCs w:val="20"/>
                <w:lang/>
              </w:rPr>
              <w:t>100.00%</w:t>
            </w:r>
          </w:p>
        </w:tc>
        <w:tc>
          <w:tcPr>
            <w:tcW w:w="1043" w:type="dxa"/>
            <w:tcBorders>
              <w:tl2br w:val="nil"/>
              <w:tr2bl w:val="nil"/>
            </w:tcBorders>
            <w:vAlign w:val="center"/>
          </w:tcPr>
          <w:p w:rsidR="000E448E" w:rsidRDefault="006F7A5B">
            <w:pPr>
              <w:widowControl/>
              <w:jc w:val="left"/>
              <w:textAlignment w:val="center"/>
            </w:pPr>
            <w:r>
              <w:rPr>
                <w:rFonts w:ascii="宋体" w:hAnsi="宋体" w:cs="宋体" w:hint="eastAsia"/>
                <w:color w:val="000000"/>
                <w:kern w:val="0"/>
                <w:sz w:val="20"/>
                <w:szCs w:val="20"/>
                <w:lang/>
              </w:rPr>
              <w:t>百分比</w:t>
            </w:r>
          </w:p>
        </w:tc>
        <w:tc>
          <w:tcPr>
            <w:tcW w:w="2426"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按预算编制</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《河北省调整机关工作人员基本工资标准实施办法》、《河北省调整事业单位工作人员基本工资标准实施办法》</w:t>
            </w:r>
          </w:p>
        </w:tc>
      </w:tr>
      <w:tr w:rsidR="000E448E">
        <w:trPr>
          <w:trHeight w:val="614"/>
          <w:jc w:val="center"/>
        </w:trPr>
        <w:tc>
          <w:tcPr>
            <w:tcW w:w="1635" w:type="dxa"/>
            <w:vMerge/>
            <w:tcBorders>
              <w:tl2br w:val="nil"/>
              <w:tr2bl w:val="nil"/>
            </w:tcBorders>
            <w:vAlign w:val="center"/>
          </w:tcPr>
          <w:p w:rsidR="000E448E" w:rsidRDefault="000E448E">
            <w:pPr>
              <w:jc w:val="center"/>
              <w:rPr>
                <w:rFonts w:ascii="方正书宋_GBK" w:eastAsia="方正书宋_GBK"/>
              </w:rPr>
            </w:pPr>
          </w:p>
        </w:tc>
        <w:tc>
          <w:tcPr>
            <w:tcW w:w="1063"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时效指标</w:t>
            </w:r>
          </w:p>
        </w:tc>
        <w:tc>
          <w:tcPr>
            <w:tcW w:w="1774"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经费支出时间及项目资金拨付时效</w:t>
            </w:r>
          </w:p>
        </w:tc>
        <w:tc>
          <w:tcPr>
            <w:tcW w:w="223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在</w:t>
            </w: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年度完成各项资金支出进度要求，保障各项工作顺利开展、工资薪金按时发放情况。按照</w:t>
            </w:r>
            <w:r>
              <w:rPr>
                <w:rFonts w:ascii="宋体" w:hAnsi="宋体" w:cs="宋体" w:hint="eastAsia"/>
                <w:color w:val="000000"/>
                <w:kern w:val="0"/>
                <w:sz w:val="20"/>
                <w:szCs w:val="20"/>
                <w:lang/>
              </w:rPr>
              <w:t>2020</w:t>
            </w:r>
            <w:r>
              <w:rPr>
                <w:rFonts w:ascii="宋体" w:hAnsi="宋体" w:cs="宋体" w:hint="eastAsia"/>
                <w:color w:val="000000"/>
                <w:kern w:val="0"/>
                <w:sz w:val="20"/>
                <w:szCs w:val="20"/>
                <w:lang/>
              </w:rPr>
              <w:t>年工作计划，完成年内项目组织管理任务，做好各类项目执行的全过程监督管理工作，确保各类项目按计划有效实施。在年度内完成各项项目资金支出进度要求，保障各项工作顺利开展、干部职工工资按时发放。</w:t>
            </w:r>
          </w:p>
        </w:tc>
        <w:tc>
          <w:tcPr>
            <w:tcW w:w="42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w:t>
            </w:r>
          </w:p>
        </w:tc>
        <w:tc>
          <w:tcPr>
            <w:tcW w:w="900" w:type="dxa"/>
            <w:tcBorders>
              <w:tl2br w:val="nil"/>
              <w:tr2bl w:val="nil"/>
            </w:tcBorders>
            <w:vAlign w:val="center"/>
          </w:tcPr>
          <w:p w:rsidR="000E448E" w:rsidRDefault="006F7A5B">
            <w:pPr>
              <w:widowControl/>
              <w:jc w:val="right"/>
              <w:textAlignment w:val="center"/>
            </w:pPr>
            <w:r>
              <w:rPr>
                <w:rFonts w:ascii="宋体" w:hAnsi="宋体" w:cs="宋体" w:hint="eastAsia"/>
                <w:color w:val="000000"/>
                <w:kern w:val="0"/>
                <w:sz w:val="20"/>
                <w:szCs w:val="20"/>
                <w:lang/>
              </w:rPr>
              <w:t>100.00%</w:t>
            </w:r>
          </w:p>
        </w:tc>
        <w:tc>
          <w:tcPr>
            <w:tcW w:w="1043" w:type="dxa"/>
            <w:tcBorders>
              <w:tl2br w:val="nil"/>
              <w:tr2bl w:val="nil"/>
            </w:tcBorders>
            <w:vAlign w:val="center"/>
          </w:tcPr>
          <w:p w:rsidR="000E448E" w:rsidRDefault="006F7A5B">
            <w:pPr>
              <w:widowControl/>
              <w:jc w:val="left"/>
              <w:textAlignment w:val="center"/>
            </w:pPr>
            <w:r>
              <w:rPr>
                <w:rFonts w:ascii="宋体" w:hAnsi="宋体" w:cs="宋体" w:hint="eastAsia"/>
                <w:color w:val="000000"/>
                <w:kern w:val="0"/>
                <w:sz w:val="20"/>
                <w:szCs w:val="20"/>
                <w:lang/>
              </w:rPr>
              <w:t>百分比</w:t>
            </w:r>
          </w:p>
        </w:tc>
        <w:tc>
          <w:tcPr>
            <w:tcW w:w="2426"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计划标准</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 xml:space="preserve">              </w:t>
            </w:r>
            <w:r>
              <w:rPr>
                <w:rFonts w:ascii="宋体" w:hAnsi="宋体" w:cs="宋体" w:hint="eastAsia"/>
                <w:color w:val="000000"/>
                <w:kern w:val="0"/>
                <w:sz w:val="20"/>
                <w:szCs w:val="20"/>
                <w:lang/>
              </w:rPr>
              <w:t>文采综指【</w:t>
            </w:r>
            <w:r>
              <w:rPr>
                <w:rFonts w:ascii="宋体" w:hAnsi="宋体" w:cs="宋体" w:hint="eastAsia"/>
                <w:color w:val="000000"/>
                <w:kern w:val="0"/>
                <w:sz w:val="20"/>
                <w:szCs w:val="20"/>
                <w:lang/>
              </w:rPr>
              <w:t>2020</w:t>
            </w:r>
            <w:r>
              <w:rPr>
                <w:rFonts w:ascii="宋体" w:hAnsi="宋体" w:cs="宋体" w:hint="eastAsia"/>
                <w:color w:val="000000"/>
                <w:kern w:val="0"/>
                <w:sz w:val="20"/>
                <w:szCs w:val="20"/>
                <w:lang/>
              </w:rPr>
              <w:t>】</w:t>
            </w:r>
            <w:r>
              <w:rPr>
                <w:rFonts w:ascii="宋体" w:hAnsi="宋体" w:cs="宋体" w:hint="eastAsia"/>
                <w:color w:val="000000"/>
                <w:kern w:val="0"/>
                <w:sz w:val="20"/>
                <w:szCs w:val="20"/>
                <w:lang/>
              </w:rPr>
              <w:t>22</w:t>
            </w:r>
            <w:r>
              <w:rPr>
                <w:rFonts w:ascii="宋体" w:hAnsi="宋体" w:cs="宋体" w:hint="eastAsia"/>
                <w:color w:val="000000"/>
                <w:kern w:val="0"/>
                <w:sz w:val="20"/>
                <w:szCs w:val="20"/>
                <w:lang/>
              </w:rPr>
              <w:t>号</w:t>
            </w:r>
          </w:p>
        </w:tc>
      </w:tr>
      <w:tr w:rsidR="000E448E">
        <w:trPr>
          <w:trHeight w:val="614"/>
          <w:jc w:val="center"/>
        </w:trPr>
        <w:tc>
          <w:tcPr>
            <w:tcW w:w="1635" w:type="dxa"/>
            <w:vMerge w:val="restart"/>
            <w:tcBorders>
              <w:tl2br w:val="nil"/>
              <w:tr2bl w:val="nil"/>
            </w:tcBorders>
            <w:vAlign w:val="center"/>
          </w:tcPr>
          <w:p w:rsidR="000E448E" w:rsidRDefault="006F7A5B">
            <w:pPr>
              <w:widowControl/>
              <w:jc w:val="center"/>
              <w:textAlignment w:val="center"/>
            </w:pPr>
            <w:r>
              <w:rPr>
                <w:rFonts w:ascii="宋体" w:hAnsi="宋体" w:cs="宋体" w:hint="eastAsia"/>
                <w:b/>
                <w:color w:val="000000"/>
                <w:kern w:val="0"/>
                <w:sz w:val="18"/>
                <w:szCs w:val="18"/>
                <w:lang/>
              </w:rPr>
              <w:lastRenderedPageBreak/>
              <w:t>效果指标</w:t>
            </w:r>
          </w:p>
        </w:tc>
        <w:tc>
          <w:tcPr>
            <w:tcW w:w="1063"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社会效益指标</w:t>
            </w:r>
          </w:p>
        </w:tc>
        <w:tc>
          <w:tcPr>
            <w:tcW w:w="1774"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保障社会和谐稳定，确保资金使用效率，保障各项工作进展顺利。</w:t>
            </w:r>
          </w:p>
        </w:tc>
        <w:tc>
          <w:tcPr>
            <w:tcW w:w="223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通过项目的实施，确保资金使用效率，保障各项工作进展顺利。</w:t>
            </w:r>
          </w:p>
        </w:tc>
        <w:tc>
          <w:tcPr>
            <w:tcW w:w="42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w:t>
            </w:r>
          </w:p>
        </w:tc>
        <w:tc>
          <w:tcPr>
            <w:tcW w:w="900" w:type="dxa"/>
            <w:tcBorders>
              <w:tl2br w:val="nil"/>
              <w:tr2bl w:val="nil"/>
            </w:tcBorders>
            <w:vAlign w:val="center"/>
          </w:tcPr>
          <w:p w:rsidR="000E448E" w:rsidRDefault="006F7A5B">
            <w:pPr>
              <w:widowControl/>
              <w:jc w:val="right"/>
              <w:textAlignment w:val="center"/>
            </w:pPr>
            <w:r>
              <w:rPr>
                <w:rFonts w:ascii="宋体" w:hAnsi="宋体" w:cs="宋体" w:hint="eastAsia"/>
                <w:color w:val="000000"/>
                <w:kern w:val="0"/>
                <w:sz w:val="20"/>
                <w:szCs w:val="20"/>
                <w:lang/>
              </w:rPr>
              <w:t>100.00%</w:t>
            </w:r>
          </w:p>
        </w:tc>
        <w:tc>
          <w:tcPr>
            <w:tcW w:w="1043" w:type="dxa"/>
            <w:tcBorders>
              <w:tl2br w:val="nil"/>
              <w:tr2bl w:val="nil"/>
            </w:tcBorders>
            <w:vAlign w:val="center"/>
          </w:tcPr>
          <w:p w:rsidR="000E448E" w:rsidRDefault="006F7A5B">
            <w:pPr>
              <w:widowControl/>
              <w:jc w:val="left"/>
              <w:textAlignment w:val="center"/>
            </w:pPr>
            <w:r>
              <w:rPr>
                <w:rFonts w:ascii="宋体" w:hAnsi="宋体" w:cs="宋体" w:hint="eastAsia"/>
                <w:color w:val="000000"/>
                <w:kern w:val="0"/>
                <w:sz w:val="20"/>
                <w:szCs w:val="20"/>
                <w:lang/>
              </w:rPr>
              <w:t>百分比</w:t>
            </w:r>
          </w:p>
        </w:tc>
        <w:tc>
          <w:tcPr>
            <w:tcW w:w="2426"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文财【</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w:t>
            </w:r>
            <w:r>
              <w:rPr>
                <w:rFonts w:ascii="宋体" w:hAnsi="宋体" w:cs="宋体" w:hint="eastAsia"/>
                <w:color w:val="000000"/>
                <w:kern w:val="0"/>
                <w:sz w:val="20"/>
                <w:szCs w:val="20"/>
                <w:lang/>
              </w:rPr>
              <w:t>58</w:t>
            </w:r>
            <w:r>
              <w:rPr>
                <w:rFonts w:ascii="宋体" w:hAnsi="宋体" w:cs="宋体" w:hint="eastAsia"/>
                <w:color w:val="000000"/>
                <w:kern w:val="0"/>
                <w:sz w:val="20"/>
                <w:szCs w:val="20"/>
                <w:lang/>
              </w:rPr>
              <w:t>号文财【</w:t>
            </w:r>
            <w:r>
              <w:rPr>
                <w:rFonts w:ascii="宋体" w:hAnsi="宋体" w:cs="宋体" w:hint="eastAsia"/>
                <w:color w:val="000000"/>
                <w:kern w:val="0"/>
                <w:sz w:val="20"/>
                <w:szCs w:val="20"/>
                <w:lang/>
              </w:rPr>
              <w:t>2019</w:t>
            </w:r>
            <w:r>
              <w:rPr>
                <w:rFonts w:ascii="宋体" w:hAnsi="宋体" w:cs="宋体" w:hint="eastAsia"/>
                <w:color w:val="000000"/>
                <w:kern w:val="0"/>
                <w:sz w:val="20"/>
                <w:szCs w:val="20"/>
                <w:lang/>
              </w:rPr>
              <w:t>】</w:t>
            </w:r>
            <w:r>
              <w:rPr>
                <w:rFonts w:ascii="宋体" w:hAnsi="宋体" w:cs="宋体" w:hint="eastAsia"/>
                <w:color w:val="000000"/>
                <w:kern w:val="0"/>
                <w:sz w:val="20"/>
                <w:szCs w:val="20"/>
                <w:lang/>
              </w:rPr>
              <w:t>59</w:t>
            </w:r>
            <w:r>
              <w:rPr>
                <w:rFonts w:ascii="宋体" w:hAnsi="宋体" w:cs="宋体" w:hint="eastAsia"/>
                <w:color w:val="000000"/>
                <w:kern w:val="0"/>
                <w:sz w:val="20"/>
                <w:szCs w:val="20"/>
                <w:lang/>
              </w:rPr>
              <w:t>号</w:t>
            </w:r>
          </w:p>
        </w:tc>
      </w:tr>
      <w:tr w:rsidR="000E448E">
        <w:trPr>
          <w:trHeight w:val="614"/>
          <w:jc w:val="center"/>
        </w:trPr>
        <w:tc>
          <w:tcPr>
            <w:tcW w:w="1635" w:type="dxa"/>
            <w:vMerge/>
            <w:tcBorders>
              <w:tl2br w:val="nil"/>
              <w:tr2bl w:val="nil"/>
            </w:tcBorders>
            <w:vAlign w:val="center"/>
          </w:tcPr>
          <w:p w:rsidR="000E448E" w:rsidRDefault="000E448E">
            <w:pPr>
              <w:jc w:val="center"/>
            </w:pPr>
          </w:p>
        </w:tc>
        <w:tc>
          <w:tcPr>
            <w:tcW w:w="1063"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社会效益指标</w:t>
            </w:r>
          </w:p>
        </w:tc>
        <w:tc>
          <w:tcPr>
            <w:tcW w:w="1774"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配套设施完成率</w:t>
            </w:r>
          </w:p>
        </w:tc>
        <w:tc>
          <w:tcPr>
            <w:tcW w:w="223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档案存储环境及配套设施建设提高率</w:t>
            </w:r>
          </w:p>
        </w:tc>
        <w:tc>
          <w:tcPr>
            <w:tcW w:w="425"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&gt;=</w:t>
            </w:r>
          </w:p>
        </w:tc>
        <w:tc>
          <w:tcPr>
            <w:tcW w:w="900" w:type="dxa"/>
            <w:tcBorders>
              <w:tl2br w:val="nil"/>
              <w:tr2bl w:val="nil"/>
            </w:tcBorders>
            <w:vAlign w:val="center"/>
          </w:tcPr>
          <w:p w:rsidR="000E448E" w:rsidRDefault="006F7A5B">
            <w:pPr>
              <w:widowControl/>
              <w:jc w:val="right"/>
              <w:textAlignment w:val="center"/>
            </w:pPr>
            <w:r>
              <w:rPr>
                <w:rFonts w:ascii="宋体" w:hAnsi="宋体" w:cs="宋体" w:hint="eastAsia"/>
                <w:color w:val="000000"/>
                <w:kern w:val="0"/>
                <w:sz w:val="20"/>
                <w:szCs w:val="20"/>
                <w:lang/>
              </w:rPr>
              <w:t>85.00%</w:t>
            </w:r>
          </w:p>
        </w:tc>
        <w:tc>
          <w:tcPr>
            <w:tcW w:w="1043" w:type="dxa"/>
            <w:tcBorders>
              <w:tl2br w:val="nil"/>
              <w:tr2bl w:val="nil"/>
            </w:tcBorders>
            <w:vAlign w:val="center"/>
          </w:tcPr>
          <w:p w:rsidR="000E448E" w:rsidRDefault="006F7A5B">
            <w:pPr>
              <w:widowControl/>
              <w:jc w:val="left"/>
              <w:textAlignment w:val="center"/>
            </w:pPr>
            <w:r>
              <w:rPr>
                <w:rFonts w:ascii="宋体" w:hAnsi="宋体" w:cs="宋体" w:hint="eastAsia"/>
                <w:color w:val="000000"/>
                <w:kern w:val="0"/>
                <w:sz w:val="20"/>
                <w:szCs w:val="20"/>
                <w:lang/>
              </w:rPr>
              <w:t>百分比</w:t>
            </w:r>
          </w:p>
        </w:tc>
        <w:tc>
          <w:tcPr>
            <w:tcW w:w="2426"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行业标准</w:t>
            </w:r>
          </w:p>
        </w:tc>
      </w:tr>
      <w:tr w:rsidR="000E448E">
        <w:trPr>
          <w:trHeight w:val="770"/>
          <w:jc w:val="center"/>
        </w:trPr>
        <w:tc>
          <w:tcPr>
            <w:tcW w:w="1635" w:type="dxa"/>
            <w:vMerge/>
            <w:tcBorders>
              <w:tl2br w:val="nil"/>
              <w:tr2bl w:val="nil"/>
            </w:tcBorders>
            <w:vAlign w:val="center"/>
          </w:tcPr>
          <w:p w:rsidR="000E448E" w:rsidRDefault="000E448E">
            <w:pPr>
              <w:jc w:val="center"/>
            </w:pPr>
          </w:p>
        </w:tc>
        <w:tc>
          <w:tcPr>
            <w:tcW w:w="1063"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可持续影响指标</w:t>
            </w:r>
          </w:p>
        </w:tc>
        <w:tc>
          <w:tcPr>
            <w:tcW w:w="1774" w:type="dxa"/>
            <w:tcBorders>
              <w:tl2br w:val="nil"/>
              <w:tr2bl w:val="nil"/>
            </w:tcBorders>
            <w:noWrap/>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持续时长</w:t>
            </w:r>
          </w:p>
        </w:tc>
        <w:tc>
          <w:tcPr>
            <w:tcW w:w="2235" w:type="dxa"/>
            <w:tcBorders>
              <w:tl2br w:val="nil"/>
              <w:tr2bl w:val="nil"/>
            </w:tcBorders>
            <w:noWrap/>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项目持续发挥作用年限</w:t>
            </w:r>
          </w:p>
        </w:tc>
        <w:tc>
          <w:tcPr>
            <w:tcW w:w="425" w:type="dxa"/>
            <w:tcBorders>
              <w:tl2br w:val="nil"/>
              <w:tr2bl w:val="nil"/>
            </w:tcBorders>
            <w:noWrap/>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&gt;=</w:t>
            </w:r>
          </w:p>
        </w:tc>
        <w:tc>
          <w:tcPr>
            <w:tcW w:w="900" w:type="dxa"/>
            <w:tcBorders>
              <w:tl2br w:val="nil"/>
              <w:tr2bl w:val="nil"/>
            </w:tcBorders>
            <w:noWrap/>
            <w:vAlign w:val="center"/>
          </w:tcPr>
          <w:p w:rsidR="000E448E" w:rsidRDefault="006F7A5B">
            <w:pPr>
              <w:widowControl/>
              <w:jc w:val="right"/>
              <w:textAlignment w:val="center"/>
            </w:pPr>
            <w:r>
              <w:rPr>
                <w:rFonts w:ascii="宋体" w:hAnsi="宋体" w:cs="宋体" w:hint="eastAsia"/>
                <w:color w:val="000000"/>
                <w:kern w:val="0"/>
                <w:sz w:val="20"/>
                <w:szCs w:val="20"/>
                <w:lang/>
              </w:rPr>
              <w:t>5</w:t>
            </w:r>
          </w:p>
        </w:tc>
        <w:tc>
          <w:tcPr>
            <w:tcW w:w="1043" w:type="dxa"/>
            <w:tcBorders>
              <w:tl2br w:val="nil"/>
              <w:tr2bl w:val="nil"/>
            </w:tcBorders>
            <w:noWrap/>
            <w:vAlign w:val="center"/>
          </w:tcPr>
          <w:p w:rsidR="000E448E" w:rsidRDefault="006F7A5B">
            <w:pPr>
              <w:widowControl/>
              <w:jc w:val="left"/>
              <w:textAlignment w:val="center"/>
            </w:pPr>
            <w:r>
              <w:rPr>
                <w:rFonts w:ascii="宋体" w:hAnsi="宋体" w:cs="宋体" w:hint="eastAsia"/>
                <w:color w:val="000000"/>
                <w:kern w:val="0"/>
                <w:sz w:val="20"/>
                <w:szCs w:val="20"/>
                <w:lang/>
              </w:rPr>
              <w:t>年</w:t>
            </w:r>
          </w:p>
        </w:tc>
        <w:tc>
          <w:tcPr>
            <w:tcW w:w="2426"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行业标准</w:t>
            </w:r>
          </w:p>
        </w:tc>
      </w:tr>
      <w:tr w:rsidR="000E448E">
        <w:trPr>
          <w:trHeight w:val="604"/>
          <w:jc w:val="center"/>
        </w:trPr>
        <w:tc>
          <w:tcPr>
            <w:tcW w:w="1635" w:type="dxa"/>
            <w:tcBorders>
              <w:tl2br w:val="nil"/>
              <w:tr2bl w:val="nil"/>
            </w:tcBorders>
            <w:vAlign w:val="center"/>
          </w:tcPr>
          <w:p w:rsidR="000E448E" w:rsidRDefault="006F7A5B">
            <w:pPr>
              <w:widowControl/>
              <w:jc w:val="center"/>
              <w:textAlignment w:val="center"/>
            </w:pPr>
            <w:r>
              <w:rPr>
                <w:rFonts w:ascii="宋体" w:hAnsi="宋体" w:cs="宋体" w:hint="eastAsia"/>
                <w:b/>
                <w:color w:val="000000"/>
                <w:kern w:val="0"/>
                <w:sz w:val="18"/>
                <w:szCs w:val="18"/>
                <w:lang/>
              </w:rPr>
              <w:t>满意度指标</w:t>
            </w:r>
          </w:p>
        </w:tc>
        <w:tc>
          <w:tcPr>
            <w:tcW w:w="1063" w:type="dxa"/>
            <w:tcBorders>
              <w:tl2br w:val="nil"/>
              <w:tr2bl w:val="nil"/>
            </w:tcBorders>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服务对象满意度指标</w:t>
            </w:r>
          </w:p>
        </w:tc>
        <w:tc>
          <w:tcPr>
            <w:tcW w:w="1774" w:type="dxa"/>
            <w:tcBorders>
              <w:tl2br w:val="nil"/>
              <w:tr2bl w:val="nil"/>
            </w:tcBorders>
            <w:noWrap/>
            <w:vAlign w:val="center"/>
          </w:tcPr>
          <w:p w:rsidR="000E448E" w:rsidRDefault="006F7A5B">
            <w:pPr>
              <w:widowControl/>
              <w:jc w:val="center"/>
              <w:textAlignment w:val="center"/>
              <w:rPr>
                <w:rFonts w:ascii="方正书宋_GBK" w:eastAsia="方正书宋_GBK"/>
              </w:rPr>
            </w:pPr>
            <w:r>
              <w:rPr>
                <w:rFonts w:ascii="宋体" w:hAnsi="宋体" w:cs="宋体" w:hint="eastAsia"/>
                <w:color w:val="000000"/>
                <w:kern w:val="0"/>
                <w:sz w:val="20"/>
                <w:szCs w:val="20"/>
                <w:lang/>
              </w:rPr>
              <w:t>档案利用者满意度</w:t>
            </w:r>
          </w:p>
        </w:tc>
        <w:tc>
          <w:tcPr>
            <w:tcW w:w="2235" w:type="dxa"/>
            <w:tcBorders>
              <w:tl2br w:val="nil"/>
              <w:tr2bl w:val="nil"/>
            </w:tcBorders>
            <w:noWrap/>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各类政策落实、档案利用者对档案储存及查阅利用项目实施情况满意度</w:t>
            </w:r>
          </w:p>
        </w:tc>
        <w:tc>
          <w:tcPr>
            <w:tcW w:w="425" w:type="dxa"/>
            <w:tcBorders>
              <w:tl2br w:val="nil"/>
              <w:tr2bl w:val="nil"/>
            </w:tcBorders>
            <w:noWrap/>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w:t>
            </w:r>
          </w:p>
        </w:tc>
        <w:tc>
          <w:tcPr>
            <w:tcW w:w="900" w:type="dxa"/>
            <w:tcBorders>
              <w:tl2br w:val="nil"/>
              <w:tr2bl w:val="nil"/>
            </w:tcBorders>
            <w:noWrap/>
            <w:vAlign w:val="center"/>
          </w:tcPr>
          <w:p w:rsidR="000E448E" w:rsidRDefault="006F7A5B">
            <w:pPr>
              <w:widowControl/>
              <w:jc w:val="right"/>
              <w:textAlignment w:val="center"/>
            </w:pPr>
            <w:r>
              <w:rPr>
                <w:rFonts w:ascii="宋体" w:hAnsi="宋体" w:cs="宋体" w:hint="eastAsia"/>
                <w:color w:val="000000"/>
                <w:kern w:val="0"/>
                <w:sz w:val="20"/>
                <w:szCs w:val="20"/>
                <w:lang/>
              </w:rPr>
              <w:t>100.00%</w:t>
            </w:r>
          </w:p>
        </w:tc>
        <w:tc>
          <w:tcPr>
            <w:tcW w:w="1043" w:type="dxa"/>
            <w:tcBorders>
              <w:tl2br w:val="nil"/>
              <w:tr2bl w:val="nil"/>
            </w:tcBorders>
            <w:noWrap/>
            <w:vAlign w:val="center"/>
          </w:tcPr>
          <w:p w:rsidR="000E448E" w:rsidRDefault="006F7A5B">
            <w:pPr>
              <w:widowControl/>
              <w:jc w:val="left"/>
              <w:textAlignment w:val="center"/>
            </w:pPr>
            <w:r>
              <w:rPr>
                <w:rFonts w:ascii="宋体" w:hAnsi="宋体" w:cs="宋体" w:hint="eastAsia"/>
                <w:color w:val="333333"/>
                <w:kern w:val="0"/>
                <w:sz w:val="20"/>
                <w:szCs w:val="20"/>
                <w:lang/>
              </w:rPr>
              <w:t>百分比</w:t>
            </w:r>
          </w:p>
        </w:tc>
        <w:tc>
          <w:tcPr>
            <w:tcW w:w="2426" w:type="dxa"/>
            <w:tcBorders>
              <w:tl2br w:val="nil"/>
              <w:tr2bl w:val="nil"/>
            </w:tcBorders>
            <w:vAlign w:val="center"/>
          </w:tcPr>
          <w:p w:rsidR="000E448E" w:rsidRDefault="006F7A5B">
            <w:pPr>
              <w:widowControl/>
              <w:jc w:val="left"/>
              <w:textAlignment w:val="center"/>
              <w:rPr>
                <w:rFonts w:ascii="方正书宋_GBK" w:eastAsia="方正书宋_GBK"/>
              </w:rPr>
            </w:pPr>
            <w:r>
              <w:rPr>
                <w:rFonts w:ascii="宋体" w:hAnsi="宋体" w:cs="宋体" w:hint="eastAsia"/>
                <w:color w:val="000000"/>
                <w:kern w:val="0"/>
                <w:sz w:val="20"/>
                <w:szCs w:val="20"/>
                <w:lang/>
              </w:rPr>
              <w:t>经验标准</w:t>
            </w:r>
          </w:p>
        </w:tc>
      </w:tr>
    </w:tbl>
    <w:p w:rsidR="000E448E" w:rsidRDefault="000E448E">
      <w:pPr>
        <w:spacing w:line="584" w:lineRule="exact"/>
        <w:rPr>
          <w:rFonts w:ascii="仿宋_GB2312" w:eastAsia="仿宋_GB2312" w:cs="Times New Roman"/>
          <w:sz w:val="32"/>
          <w:szCs w:val="32"/>
        </w:rPr>
      </w:pPr>
    </w:p>
    <w:p w:rsidR="000E448E" w:rsidRDefault="006F7A5B">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0E448E" w:rsidRDefault="006F7A5B">
      <w:pPr>
        <w:spacing w:line="584"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本单位无项目资金。</w:t>
      </w:r>
    </w:p>
    <w:p w:rsidR="000E448E" w:rsidRDefault="000E448E">
      <w:pPr>
        <w:autoSpaceDE w:val="0"/>
        <w:autoSpaceDN w:val="0"/>
        <w:adjustRightInd w:val="0"/>
        <w:spacing w:line="584" w:lineRule="exact"/>
        <w:jc w:val="left"/>
        <w:rPr>
          <w:rFonts w:ascii="Times New Roman" w:eastAsia="黑体" w:hAnsi="Times New Roman" w:cs="Times New Roman"/>
          <w:sz w:val="32"/>
          <w:szCs w:val="32"/>
        </w:rPr>
      </w:pPr>
    </w:p>
    <w:p w:rsidR="000E448E" w:rsidRDefault="006F7A5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0E448E" w:rsidRDefault="006F7A5B">
      <w:pPr>
        <w:spacing w:line="584" w:lineRule="exact"/>
        <w:ind w:firstLineChars="200" w:firstLine="640"/>
        <w:outlineLvl w:val="0"/>
        <w:rPr>
          <w:rFonts w:ascii="Times New Roman" w:eastAsia="仿宋_GB2312" w:hAnsi="Times New Roman" w:cs="Times New Roman"/>
          <w:sz w:val="32"/>
          <w:szCs w:val="24"/>
        </w:rPr>
      </w:pPr>
      <w:bookmarkStart w:id="0"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w:t>
      </w:r>
      <w:r>
        <w:rPr>
          <w:rFonts w:ascii="Times New Roman" w:eastAsia="仿宋_GB2312" w:hAnsi="Times New Roman" w:cs="Times New Roman" w:hint="eastAsia"/>
          <w:sz w:val="32"/>
          <w:szCs w:val="24"/>
        </w:rPr>
        <w:t>3</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bookmarkEnd w:id="0"/>
    <w:p w:rsidR="000E448E" w:rsidRDefault="000E448E">
      <w:pPr>
        <w:spacing w:line="584" w:lineRule="exact"/>
        <w:jc w:val="left"/>
        <w:outlineLvl w:val="0"/>
        <w:rPr>
          <w:rFonts w:ascii="Times New Roman" w:eastAsia="仿宋_GB2312" w:hAnsi="Times New Roman" w:cs="Times New Roman"/>
        </w:rPr>
      </w:pPr>
    </w:p>
    <w:p w:rsidR="000E448E" w:rsidRDefault="006F7A5B">
      <w:pPr>
        <w:jc w:val="center"/>
        <w:outlineLvl w:val="1"/>
        <w:rPr>
          <w:rFonts w:ascii="方正小标宋_GBK" w:eastAsia="方正小标宋_GBK" w:cs="Times New Roman"/>
          <w:sz w:val="32"/>
        </w:rPr>
      </w:pPr>
      <w:bookmarkStart w:id="1" w:name="_Toc64920910"/>
      <w:r>
        <w:rPr>
          <w:rFonts w:ascii="方正小标宋_GBK" w:eastAsia="方正小标宋_GBK" w:cs="Times New Roman" w:hint="eastAsia"/>
          <w:sz w:val="32"/>
        </w:rPr>
        <w:lastRenderedPageBreak/>
        <w:t>部门政府采购预算</w:t>
      </w:r>
      <w:bookmarkEnd w:id="1"/>
    </w:p>
    <w:p w:rsidR="000E448E" w:rsidRDefault="006F7A5B">
      <w:pPr>
        <w:spacing w:line="584" w:lineRule="exact"/>
        <w:ind w:firstLineChars="200" w:firstLine="640"/>
        <w:outlineLvl w:val="0"/>
        <w:rPr>
          <w:rFonts w:ascii="Times New Roman" w:eastAsia="仿宋_GB2312" w:hAnsi="Times New Roman" w:cs="Times New Roman"/>
          <w:sz w:val="32"/>
        </w:rPr>
      </w:pPr>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w:t>
      </w:r>
      <w:r>
        <w:rPr>
          <w:rFonts w:ascii="Times New Roman" w:eastAsia="仿宋_GB2312" w:hAnsi="Times New Roman" w:cs="Times New Roman" w:hint="eastAsia"/>
          <w:sz w:val="32"/>
          <w:szCs w:val="24"/>
        </w:rPr>
        <w:t>3</w:t>
      </w:r>
      <w:r>
        <w:rPr>
          <w:rFonts w:ascii="Times New Roman" w:eastAsia="仿宋_GB2312" w:hAnsi="Times New Roman" w:cs="Times New Roman"/>
          <w:sz w:val="32"/>
          <w:szCs w:val="24"/>
        </w:rPr>
        <w:t>年，我部门安排政府采购预算</w:t>
      </w:r>
      <w:r>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w:t>
      </w:r>
    </w:p>
    <w:tbl>
      <w:tblPr>
        <w:tblpPr w:leftFromText="180" w:rightFromText="180" w:vertAnchor="text" w:horzAnchor="page" w:tblpX="792" w:tblpY="307"/>
        <w:tblOverlap w:val="never"/>
        <w:tblW w:w="15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0E448E">
        <w:trPr>
          <w:cantSplit/>
          <w:tblHeader/>
        </w:trPr>
        <w:tc>
          <w:tcPr>
            <w:tcW w:w="8703" w:type="dxa"/>
            <w:gridSpan w:val="7"/>
            <w:tcBorders>
              <w:top w:val="single" w:sz="6" w:space="0" w:color="FFFFFF"/>
              <w:left w:val="single" w:sz="6" w:space="0" w:color="FFFFFF"/>
              <w:right w:val="single" w:sz="6" w:space="0" w:color="FFFFFF"/>
            </w:tcBorders>
            <w:shd w:val="clear" w:color="auto" w:fill="auto"/>
            <w:vAlign w:val="center"/>
          </w:tcPr>
          <w:p w:rsidR="000E448E" w:rsidRDefault="000E448E">
            <w:pPr>
              <w:spacing w:line="300" w:lineRule="exact"/>
              <w:jc w:val="left"/>
              <w:rPr>
                <w:rFonts w:ascii="方正小标宋_GBK" w:eastAsia="方正小标宋_GBK" w:cs="Times New Roman"/>
                <w:sz w:val="24"/>
              </w:rPr>
            </w:pPr>
          </w:p>
        </w:tc>
        <w:tc>
          <w:tcPr>
            <w:tcW w:w="6804" w:type="dxa"/>
            <w:gridSpan w:val="6"/>
            <w:tcBorders>
              <w:top w:val="single" w:sz="6" w:space="0" w:color="FFFFFF"/>
              <w:left w:val="single" w:sz="6" w:space="0" w:color="FFFFFF"/>
              <w:right w:val="single" w:sz="6" w:space="0" w:color="FFFFFF"/>
            </w:tcBorders>
            <w:shd w:val="clear" w:color="auto" w:fill="auto"/>
            <w:vAlign w:val="center"/>
          </w:tcPr>
          <w:p w:rsidR="000E448E" w:rsidRDefault="006F7A5B">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0E448E">
        <w:trPr>
          <w:cantSplit/>
          <w:tblHeader/>
        </w:trPr>
        <w:tc>
          <w:tcPr>
            <w:tcW w:w="3118" w:type="dxa"/>
            <w:gridSpan w:val="2"/>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计量</w:t>
            </w:r>
            <w:r>
              <w:rPr>
                <w:rFonts w:ascii="方正书宋_GBK" w:eastAsia="方正书宋_GBK" w:cs="Times New Roman"/>
                <w:b/>
              </w:rPr>
              <w:t xml:space="preserve">  </w:t>
            </w:r>
            <w:r>
              <w:rPr>
                <w:rFonts w:ascii="方正书宋_GBK" w:eastAsia="方正书宋_GBK" w:cs="Times New Roman"/>
                <w:b/>
              </w:rPr>
              <w:t>单位</w:t>
            </w:r>
          </w:p>
        </w:tc>
        <w:tc>
          <w:tcPr>
            <w:tcW w:w="907" w:type="dxa"/>
            <w:vMerge w:val="restart"/>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0E448E">
        <w:trPr>
          <w:cantSplit/>
          <w:tblHeader/>
        </w:trPr>
        <w:tc>
          <w:tcPr>
            <w:tcW w:w="1984" w:type="dxa"/>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0E448E" w:rsidRDefault="000E448E"/>
        </w:tc>
        <w:tc>
          <w:tcPr>
            <w:tcW w:w="1531" w:type="dxa"/>
            <w:vMerge/>
            <w:shd w:val="clear" w:color="auto" w:fill="auto"/>
            <w:vAlign w:val="center"/>
          </w:tcPr>
          <w:p w:rsidR="000E448E" w:rsidRDefault="000E448E"/>
        </w:tc>
        <w:tc>
          <w:tcPr>
            <w:tcW w:w="709" w:type="dxa"/>
            <w:vMerge/>
            <w:shd w:val="clear" w:color="auto" w:fill="auto"/>
            <w:vAlign w:val="center"/>
          </w:tcPr>
          <w:p w:rsidR="000E448E" w:rsidRDefault="000E448E"/>
        </w:tc>
        <w:tc>
          <w:tcPr>
            <w:tcW w:w="907" w:type="dxa"/>
            <w:vMerge/>
            <w:shd w:val="clear" w:color="auto" w:fill="auto"/>
            <w:vAlign w:val="center"/>
          </w:tcPr>
          <w:p w:rsidR="000E448E" w:rsidRDefault="000E448E"/>
        </w:tc>
        <w:tc>
          <w:tcPr>
            <w:tcW w:w="907" w:type="dxa"/>
            <w:vMerge/>
            <w:shd w:val="clear" w:color="auto" w:fill="auto"/>
            <w:vAlign w:val="center"/>
          </w:tcPr>
          <w:p w:rsidR="000E448E" w:rsidRDefault="000E448E"/>
        </w:tc>
        <w:tc>
          <w:tcPr>
            <w:tcW w:w="1134" w:type="dxa"/>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0E448E">
        <w:trPr>
          <w:cantSplit/>
        </w:trPr>
        <w:tc>
          <w:tcPr>
            <w:tcW w:w="1984" w:type="dxa"/>
            <w:shd w:val="clear" w:color="auto" w:fill="auto"/>
            <w:vAlign w:val="center"/>
          </w:tcPr>
          <w:p w:rsidR="000E448E" w:rsidRDefault="006F7A5B">
            <w:pPr>
              <w:spacing w:line="300" w:lineRule="exact"/>
              <w:jc w:val="center"/>
              <w:rPr>
                <w:rFonts w:ascii="方正书宋_GBK" w:eastAsia="方正书宋_GBK" w:cs="Times New Roman"/>
                <w:b/>
              </w:rPr>
            </w:pPr>
            <w:r>
              <w:rPr>
                <w:rFonts w:ascii="方正书宋_GBK" w:eastAsia="方正书宋_GBK" w:cs="Times New Roman"/>
                <w:b/>
              </w:rPr>
              <w:t>合</w:t>
            </w:r>
            <w:r>
              <w:rPr>
                <w:rFonts w:ascii="方正书宋_GBK" w:eastAsia="方正书宋_GBK" w:cs="Times New Roman"/>
                <w:b/>
              </w:rPr>
              <w:t xml:space="preserve">  </w:t>
            </w:r>
            <w:r>
              <w:rPr>
                <w:rFonts w:ascii="方正书宋_GBK" w:eastAsia="方正书宋_GBK" w:cs="Times New Roman"/>
                <w:b/>
              </w:rPr>
              <w:t>计</w:t>
            </w:r>
          </w:p>
        </w:tc>
        <w:tc>
          <w:tcPr>
            <w:tcW w:w="1134" w:type="dxa"/>
            <w:shd w:val="clear" w:color="auto" w:fill="auto"/>
            <w:vAlign w:val="center"/>
          </w:tcPr>
          <w:p w:rsidR="000E448E" w:rsidRDefault="006F7A5B">
            <w:pPr>
              <w:spacing w:line="300" w:lineRule="exact"/>
              <w:jc w:val="right"/>
              <w:rPr>
                <w:rFonts w:ascii="方正书宋_GBK" w:eastAsia="方正书宋_GBK" w:cs="Times New Roman"/>
                <w:b/>
              </w:rPr>
            </w:pPr>
            <w:r>
              <w:rPr>
                <w:rFonts w:ascii="方正书宋_GBK" w:eastAsia="方正书宋_GBK" w:cs="Times New Roman" w:hint="eastAsia"/>
                <w:b/>
              </w:rPr>
              <w:t>0</w:t>
            </w:r>
          </w:p>
        </w:tc>
        <w:tc>
          <w:tcPr>
            <w:tcW w:w="1531" w:type="dxa"/>
            <w:shd w:val="clear" w:color="auto" w:fill="auto"/>
            <w:vAlign w:val="center"/>
          </w:tcPr>
          <w:p w:rsidR="000E448E" w:rsidRDefault="000E448E">
            <w:pPr>
              <w:spacing w:line="300" w:lineRule="exact"/>
              <w:jc w:val="left"/>
              <w:rPr>
                <w:rFonts w:ascii="方正书宋_GBK" w:eastAsia="方正书宋_GBK" w:cs="Times New Roman"/>
                <w:b/>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b/>
              </w:rPr>
            </w:pPr>
          </w:p>
        </w:tc>
        <w:tc>
          <w:tcPr>
            <w:tcW w:w="709" w:type="dxa"/>
            <w:shd w:val="clear" w:color="auto" w:fill="auto"/>
            <w:vAlign w:val="center"/>
          </w:tcPr>
          <w:p w:rsidR="000E448E" w:rsidRDefault="000E448E">
            <w:pPr>
              <w:spacing w:line="300" w:lineRule="exact"/>
              <w:jc w:val="center"/>
              <w:rPr>
                <w:rFonts w:ascii="方正书宋_GBK" w:eastAsia="方正书宋_GBK" w:cs="Times New Roman"/>
                <w:b/>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r>
      <w:tr w:rsidR="000E448E">
        <w:trPr>
          <w:cantSplit/>
        </w:trPr>
        <w:tc>
          <w:tcPr>
            <w:tcW w:w="1984" w:type="dxa"/>
            <w:shd w:val="clear" w:color="auto" w:fill="auto"/>
            <w:vAlign w:val="center"/>
          </w:tcPr>
          <w:p w:rsidR="000E448E" w:rsidRDefault="000E448E">
            <w:pPr>
              <w:spacing w:line="300" w:lineRule="exact"/>
              <w:jc w:val="center"/>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b/>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b/>
              </w:rPr>
            </w:pPr>
          </w:p>
        </w:tc>
        <w:tc>
          <w:tcPr>
            <w:tcW w:w="709" w:type="dxa"/>
            <w:shd w:val="clear" w:color="auto" w:fill="auto"/>
            <w:vAlign w:val="center"/>
          </w:tcPr>
          <w:p w:rsidR="000E448E" w:rsidRDefault="000E448E">
            <w:pPr>
              <w:spacing w:line="300" w:lineRule="exact"/>
              <w:jc w:val="center"/>
              <w:rPr>
                <w:rFonts w:ascii="方正书宋_GBK" w:eastAsia="方正书宋_GBK" w:cs="Times New Roman"/>
                <w:b/>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b/>
              </w:rPr>
            </w:pPr>
          </w:p>
        </w:tc>
      </w:tr>
      <w:tr w:rsidR="000E448E">
        <w:trPr>
          <w:cantSplit/>
        </w:trPr>
        <w:tc>
          <w:tcPr>
            <w:tcW w:w="1984" w:type="dxa"/>
            <w:shd w:val="clear" w:color="auto" w:fill="auto"/>
            <w:vAlign w:val="center"/>
          </w:tcPr>
          <w:p w:rsidR="000E448E" w:rsidRDefault="000E448E">
            <w:pPr>
              <w:spacing w:line="300" w:lineRule="exact"/>
              <w:jc w:val="lef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709" w:type="dxa"/>
            <w:shd w:val="clear" w:color="auto" w:fill="auto"/>
            <w:vAlign w:val="center"/>
          </w:tcPr>
          <w:p w:rsidR="000E448E" w:rsidRDefault="000E448E">
            <w:pPr>
              <w:spacing w:line="300" w:lineRule="exact"/>
              <w:jc w:val="center"/>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r>
      <w:tr w:rsidR="000E448E">
        <w:trPr>
          <w:cantSplit/>
        </w:trPr>
        <w:tc>
          <w:tcPr>
            <w:tcW w:w="1984" w:type="dxa"/>
            <w:shd w:val="clear" w:color="auto" w:fill="auto"/>
            <w:vAlign w:val="center"/>
          </w:tcPr>
          <w:p w:rsidR="000E448E" w:rsidRDefault="000E448E">
            <w:pPr>
              <w:spacing w:line="300" w:lineRule="exact"/>
              <w:jc w:val="lef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709" w:type="dxa"/>
            <w:shd w:val="clear" w:color="auto" w:fill="auto"/>
            <w:vAlign w:val="center"/>
          </w:tcPr>
          <w:p w:rsidR="000E448E" w:rsidRDefault="000E448E">
            <w:pPr>
              <w:spacing w:line="300" w:lineRule="exact"/>
              <w:jc w:val="center"/>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r>
      <w:tr w:rsidR="000E448E">
        <w:trPr>
          <w:cantSplit/>
        </w:trPr>
        <w:tc>
          <w:tcPr>
            <w:tcW w:w="1984" w:type="dxa"/>
            <w:shd w:val="clear" w:color="auto" w:fill="auto"/>
            <w:vAlign w:val="center"/>
          </w:tcPr>
          <w:p w:rsidR="000E448E" w:rsidRDefault="000E448E">
            <w:pPr>
              <w:spacing w:line="300" w:lineRule="exact"/>
              <w:jc w:val="lef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709" w:type="dxa"/>
            <w:shd w:val="clear" w:color="auto" w:fill="auto"/>
            <w:vAlign w:val="center"/>
          </w:tcPr>
          <w:p w:rsidR="000E448E" w:rsidRDefault="000E448E">
            <w:pPr>
              <w:spacing w:line="300" w:lineRule="exact"/>
              <w:jc w:val="center"/>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r>
      <w:tr w:rsidR="000E448E">
        <w:trPr>
          <w:cantSplit/>
        </w:trPr>
        <w:tc>
          <w:tcPr>
            <w:tcW w:w="1984" w:type="dxa"/>
            <w:shd w:val="clear" w:color="auto" w:fill="auto"/>
            <w:vAlign w:val="center"/>
          </w:tcPr>
          <w:p w:rsidR="000E448E" w:rsidRDefault="000E448E">
            <w:pPr>
              <w:spacing w:line="300" w:lineRule="exact"/>
              <w:jc w:val="lef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709" w:type="dxa"/>
            <w:shd w:val="clear" w:color="auto" w:fill="auto"/>
            <w:vAlign w:val="center"/>
          </w:tcPr>
          <w:p w:rsidR="000E448E" w:rsidRDefault="000E448E">
            <w:pPr>
              <w:spacing w:line="300" w:lineRule="exact"/>
              <w:jc w:val="center"/>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r>
      <w:tr w:rsidR="000E448E">
        <w:trPr>
          <w:cantSplit/>
        </w:trPr>
        <w:tc>
          <w:tcPr>
            <w:tcW w:w="1984" w:type="dxa"/>
            <w:shd w:val="clear" w:color="auto" w:fill="auto"/>
            <w:vAlign w:val="center"/>
          </w:tcPr>
          <w:p w:rsidR="000E448E" w:rsidRDefault="000E448E">
            <w:pPr>
              <w:spacing w:line="300" w:lineRule="exact"/>
              <w:jc w:val="lef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709" w:type="dxa"/>
            <w:shd w:val="clear" w:color="auto" w:fill="auto"/>
            <w:vAlign w:val="center"/>
          </w:tcPr>
          <w:p w:rsidR="000E448E" w:rsidRDefault="000E448E">
            <w:pPr>
              <w:spacing w:line="300" w:lineRule="exact"/>
              <w:jc w:val="center"/>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r>
      <w:tr w:rsidR="000E448E">
        <w:trPr>
          <w:cantSplit/>
        </w:trPr>
        <w:tc>
          <w:tcPr>
            <w:tcW w:w="1984" w:type="dxa"/>
            <w:shd w:val="clear" w:color="auto" w:fill="auto"/>
            <w:vAlign w:val="center"/>
          </w:tcPr>
          <w:p w:rsidR="000E448E" w:rsidRDefault="000E448E">
            <w:pPr>
              <w:spacing w:line="300" w:lineRule="exact"/>
              <w:jc w:val="lef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1531" w:type="dxa"/>
            <w:shd w:val="clear" w:color="auto" w:fill="auto"/>
            <w:vAlign w:val="center"/>
          </w:tcPr>
          <w:p w:rsidR="000E448E" w:rsidRDefault="000E448E">
            <w:pPr>
              <w:spacing w:line="300" w:lineRule="exact"/>
              <w:jc w:val="left"/>
              <w:rPr>
                <w:rFonts w:ascii="方正书宋_GBK" w:eastAsia="方正书宋_GBK" w:cs="Times New Roman"/>
              </w:rPr>
            </w:pPr>
          </w:p>
        </w:tc>
        <w:tc>
          <w:tcPr>
            <w:tcW w:w="709" w:type="dxa"/>
            <w:shd w:val="clear" w:color="auto" w:fill="auto"/>
            <w:vAlign w:val="center"/>
          </w:tcPr>
          <w:p w:rsidR="000E448E" w:rsidRDefault="000E448E">
            <w:pPr>
              <w:spacing w:line="300" w:lineRule="exact"/>
              <w:jc w:val="center"/>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907"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c>
          <w:tcPr>
            <w:tcW w:w="1134" w:type="dxa"/>
            <w:shd w:val="clear" w:color="auto" w:fill="auto"/>
            <w:vAlign w:val="center"/>
          </w:tcPr>
          <w:p w:rsidR="000E448E" w:rsidRDefault="000E448E">
            <w:pPr>
              <w:spacing w:line="300" w:lineRule="exact"/>
              <w:jc w:val="right"/>
              <w:rPr>
                <w:rFonts w:ascii="方正书宋_GBK" w:eastAsia="方正书宋_GBK" w:cs="Times New Roman"/>
              </w:rPr>
            </w:pPr>
          </w:p>
        </w:tc>
      </w:tr>
    </w:tbl>
    <w:p w:rsidR="000E448E" w:rsidRDefault="000E448E">
      <w:pPr>
        <w:jc w:val="center"/>
        <w:outlineLvl w:val="1"/>
        <w:rPr>
          <w:rFonts w:ascii="方正小标宋_GBK" w:eastAsia="方正小标宋_GBK" w:cs="Times New Roman"/>
          <w:sz w:val="32"/>
        </w:rPr>
      </w:pPr>
    </w:p>
    <w:p w:rsidR="000E448E" w:rsidRDefault="000E448E">
      <w:pPr>
        <w:spacing w:line="584" w:lineRule="exact"/>
        <w:jc w:val="left"/>
        <w:outlineLvl w:val="0"/>
        <w:rPr>
          <w:rFonts w:ascii="Times New Roman" w:eastAsia="仿宋_GB2312" w:hAnsi="Times New Roman" w:cs="Times New Roman"/>
        </w:rPr>
        <w:sectPr w:rsidR="000E448E">
          <w:footerReference w:type="default" r:id="rId7"/>
          <w:pgSz w:w="16839" w:h="11907" w:orient="landscape"/>
          <w:pgMar w:top="1361" w:right="1020" w:bottom="1361" w:left="1020" w:header="851" w:footer="992" w:gutter="0"/>
          <w:cols w:space="720"/>
          <w:docGrid w:type="lines" w:linePitch="312"/>
        </w:sectPr>
      </w:pPr>
    </w:p>
    <w:p w:rsidR="000E448E" w:rsidRDefault="006F7A5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0E448E" w:rsidRDefault="006F7A5B">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廊坊市</w:t>
      </w:r>
      <w:r>
        <w:rPr>
          <w:rFonts w:ascii="Times New Roman" w:eastAsia="仿宋_GB2312" w:hAnsi="Times New Roman" w:cs="Times New Roman" w:hint="eastAsia"/>
          <w:sz w:val="32"/>
          <w:szCs w:val="32"/>
        </w:rPr>
        <w:t>文安县档案馆</w:t>
      </w:r>
      <w:r>
        <w:rPr>
          <w:rFonts w:ascii="Times New Roman" w:eastAsia="仿宋_GB2312" w:hAnsi="Times New Roman" w:cs="Times New Roman"/>
          <w:sz w:val="32"/>
          <w:szCs w:val="32"/>
        </w:rPr>
        <w:t>（含所属单位）上年末固定资产金额为</w:t>
      </w:r>
      <w:r>
        <w:rPr>
          <w:rFonts w:ascii="Times New Roman" w:eastAsia="仿宋_GB2312" w:hAnsi="Times New Roman" w:cs="Times New Roman" w:hint="eastAsia"/>
          <w:sz w:val="32"/>
          <w:szCs w:val="32"/>
        </w:rPr>
        <w:t>56.32</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，本年度我部门拟购置固定资产</w:t>
      </w:r>
      <w:r>
        <w:rPr>
          <w:rFonts w:ascii="Times New Roman" w:eastAsia="仿宋_GB2312" w:hAnsi="Times New Roman" w:cs="Times New Roman" w:hint="eastAsia"/>
          <w:sz w:val="32"/>
          <w:szCs w:val="32"/>
        </w:rPr>
        <w:t>总额为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仿宋_GB2312" w:eastAsia="仿宋_GB2312" w:cs="仿宋_GB2312" w:hint="eastAsia"/>
          <w:color w:val="333333"/>
          <w:sz w:val="32"/>
          <w:szCs w:val="32"/>
          <w:shd w:val="clear" w:color="auto" w:fill="FFFFFF"/>
        </w:rPr>
        <w:t>本年度无政府采购预算</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详见固定资产占用情况表。</w:t>
      </w:r>
    </w:p>
    <w:p w:rsidR="000E448E" w:rsidRDefault="000E448E">
      <w:pPr>
        <w:spacing w:line="584" w:lineRule="exact"/>
        <w:ind w:firstLine="640"/>
        <w:rPr>
          <w:rFonts w:ascii="Times New Roman" w:eastAsia="仿宋_GB2312" w:hAnsi="Times New Roman" w:cs="Times New Roman"/>
          <w:sz w:val="32"/>
          <w:szCs w:val="32"/>
        </w:rPr>
      </w:pPr>
    </w:p>
    <w:tbl>
      <w:tblPr>
        <w:tblW w:w="13482" w:type="dxa"/>
        <w:tblInd w:w="93" w:type="dxa"/>
        <w:tblLook w:val="04A0"/>
      </w:tblPr>
      <w:tblGrid>
        <w:gridCol w:w="5224"/>
        <w:gridCol w:w="3155"/>
        <w:gridCol w:w="5103"/>
      </w:tblGrid>
      <w:tr w:rsidR="000E448E">
        <w:trPr>
          <w:trHeight w:val="705"/>
        </w:trPr>
        <w:tc>
          <w:tcPr>
            <w:tcW w:w="13482" w:type="dxa"/>
            <w:gridSpan w:val="3"/>
            <w:tcBorders>
              <w:top w:val="nil"/>
              <w:left w:val="nil"/>
              <w:bottom w:val="nil"/>
              <w:right w:val="nil"/>
            </w:tcBorders>
            <w:shd w:val="clear" w:color="auto" w:fill="auto"/>
            <w:noWrap/>
            <w:vAlign w:val="center"/>
          </w:tcPr>
          <w:p w:rsidR="000E448E" w:rsidRDefault="006F7A5B">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廊坊市市直部门固定资产占用情况表</w:t>
            </w:r>
          </w:p>
        </w:tc>
      </w:tr>
      <w:tr w:rsidR="000E448E">
        <w:trPr>
          <w:trHeight w:val="510"/>
        </w:trPr>
        <w:tc>
          <w:tcPr>
            <w:tcW w:w="8379" w:type="dxa"/>
            <w:gridSpan w:val="2"/>
            <w:tcBorders>
              <w:top w:val="nil"/>
              <w:left w:val="nil"/>
              <w:bottom w:val="nil"/>
              <w:right w:val="nil"/>
            </w:tcBorders>
            <w:shd w:val="clear" w:color="auto" w:fill="auto"/>
            <w:noWrap/>
            <w:vAlign w:val="center"/>
          </w:tcPr>
          <w:p w:rsidR="000E448E" w:rsidRDefault="006F7A5B">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编制部门：廊坊市</w:t>
            </w:r>
            <w:r>
              <w:rPr>
                <w:rFonts w:ascii="Times New Roman" w:eastAsia="仿宋_GB2312" w:hAnsi="Times New Roman" w:cs="Times New Roman" w:hint="eastAsia"/>
                <w:kern w:val="0"/>
                <w:sz w:val="22"/>
              </w:rPr>
              <w:t>文安县档案馆</w:t>
            </w:r>
          </w:p>
        </w:tc>
        <w:tc>
          <w:tcPr>
            <w:tcW w:w="5103" w:type="dxa"/>
            <w:tcBorders>
              <w:top w:val="nil"/>
              <w:left w:val="nil"/>
              <w:bottom w:val="nil"/>
              <w:right w:val="nil"/>
            </w:tcBorders>
            <w:shd w:val="clear" w:color="auto" w:fill="auto"/>
            <w:noWrap/>
            <w:vAlign w:val="center"/>
          </w:tcPr>
          <w:p w:rsidR="000E448E" w:rsidRDefault="006F7A5B">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w:t>
            </w:r>
            <w:r>
              <w:rPr>
                <w:rFonts w:ascii="Times New Roman" w:eastAsia="仿宋_GB2312" w:hAnsi="Times New Roman" w:cs="Times New Roman" w:hint="eastAsia"/>
                <w:kern w:val="0"/>
                <w:sz w:val="22"/>
              </w:rPr>
              <w:t>3</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bookmarkStart w:id="2" w:name="_GoBack"/>
            <w:bookmarkEnd w:id="2"/>
            <w:r>
              <w:rPr>
                <w:rFonts w:ascii="Times New Roman" w:eastAsia="仿宋_GB2312" w:hAnsi="Times New Roman" w:cs="Times New Roman"/>
                <w:kern w:val="0"/>
                <w:sz w:val="22"/>
              </w:rPr>
              <w:t xml:space="preserve"> </w:t>
            </w:r>
          </w:p>
        </w:tc>
      </w:tr>
      <w:tr w:rsidR="000E448E">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448E" w:rsidRDefault="006F7A5B">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0E448E" w:rsidRDefault="006F7A5B">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0E448E" w:rsidRDefault="006F7A5B">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0E448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E448E" w:rsidRDefault="006F7A5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0E448E" w:rsidRDefault="006F7A5B">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0E448E" w:rsidRDefault="006F7A5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56.32</w:t>
            </w:r>
          </w:p>
        </w:tc>
      </w:tr>
      <w:tr w:rsidR="000E448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E448E" w:rsidRDefault="006F7A5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0E448E" w:rsidRDefault="000E448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0E448E" w:rsidRDefault="000E448E">
            <w:pPr>
              <w:spacing w:line="584" w:lineRule="exact"/>
              <w:jc w:val="center"/>
              <w:rPr>
                <w:rFonts w:ascii="Times New Roman" w:eastAsia="仿宋_GB2312" w:hAnsi="Times New Roman" w:cs="Times New Roman"/>
                <w:sz w:val="22"/>
              </w:rPr>
            </w:pPr>
          </w:p>
        </w:tc>
      </w:tr>
      <w:tr w:rsidR="000E448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E448E" w:rsidRDefault="006F7A5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0E448E" w:rsidRDefault="000E448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0E448E" w:rsidRDefault="000E448E">
            <w:pPr>
              <w:spacing w:line="584" w:lineRule="exact"/>
              <w:jc w:val="center"/>
              <w:rPr>
                <w:rFonts w:ascii="Times New Roman" w:eastAsia="仿宋_GB2312" w:hAnsi="Times New Roman" w:cs="Times New Roman"/>
                <w:sz w:val="22"/>
              </w:rPr>
            </w:pPr>
          </w:p>
        </w:tc>
      </w:tr>
      <w:tr w:rsidR="000E448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E448E" w:rsidRDefault="006F7A5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0E448E" w:rsidRDefault="006F7A5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0E448E" w:rsidRDefault="006F7A5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6.95</w:t>
            </w:r>
          </w:p>
        </w:tc>
      </w:tr>
      <w:tr w:rsidR="000E448E">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0E448E" w:rsidRDefault="006F7A5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0E448E" w:rsidRDefault="000E448E">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0E448E" w:rsidRDefault="000E448E">
            <w:pPr>
              <w:spacing w:line="584" w:lineRule="exact"/>
              <w:jc w:val="center"/>
              <w:rPr>
                <w:rFonts w:ascii="Times New Roman" w:eastAsia="仿宋_GB2312" w:hAnsi="Times New Roman" w:cs="Times New Roman"/>
                <w:sz w:val="22"/>
              </w:rPr>
            </w:pPr>
          </w:p>
        </w:tc>
      </w:tr>
      <w:tr w:rsidR="000E448E">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0E448E" w:rsidRDefault="006F7A5B">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0E448E" w:rsidRDefault="006F7A5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15856</w:t>
            </w:r>
          </w:p>
        </w:tc>
        <w:tc>
          <w:tcPr>
            <w:tcW w:w="5103" w:type="dxa"/>
            <w:tcBorders>
              <w:top w:val="nil"/>
              <w:left w:val="nil"/>
              <w:bottom w:val="single" w:sz="4" w:space="0" w:color="auto"/>
              <w:right w:val="single" w:sz="4" w:space="0" w:color="auto"/>
            </w:tcBorders>
            <w:shd w:val="clear" w:color="auto" w:fill="auto"/>
            <w:noWrap/>
            <w:vAlign w:val="center"/>
          </w:tcPr>
          <w:p w:rsidR="000E448E" w:rsidRDefault="006F7A5B">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49.37</w:t>
            </w:r>
          </w:p>
        </w:tc>
      </w:tr>
    </w:tbl>
    <w:p w:rsidR="000E448E" w:rsidRDefault="006F7A5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0E448E" w:rsidRDefault="006F7A5B" w:rsidP="00E273FE">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rsidR="000E448E" w:rsidRDefault="006F7A5B" w:rsidP="00E273FE">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0E448E" w:rsidRDefault="006F7A5B" w:rsidP="00E273FE">
      <w:pPr>
        <w:tabs>
          <w:tab w:val="left" w:pos="11490"/>
        </w:tabs>
        <w:spacing w:line="584"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0E448E" w:rsidRDefault="006F7A5B" w:rsidP="00E273FE">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0E448E" w:rsidRDefault="006F7A5B" w:rsidP="00E273FE">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0E448E" w:rsidRDefault="006F7A5B" w:rsidP="00E273FE">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0E448E" w:rsidRDefault="006F7A5B" w:rsidP="00E273FE">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县级</w:t>
      </w:r>
      <w:r>
        <w:rPr>
          <w:rFonts w:ascii="Times New Roman" w:eastAsia="仿宋_GB2312" w:hAnsi="Times New Roman" w:cs="Times New Roman"/>
          <w:sz w:val="32"/>
          <w:szCs w:val="32"/>
        </w:rPr>
        <w:t>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县级</w:t>
      </w:r>
      <w:r>
        <w:rPr>
          <w:rFonts w:ascii="Times New Roman" w:eastAsia="仿宋_GB2312" w:hAnsi="Times New Roman"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0E448E" w:rsidRDefault="006F7A5B" w:rsidP="00E273FE">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w:t>
      </w:r>
      <w:r>
        <w:rPr>
          <w:rFonts w:ascii="Times New Roman" w:eastAsia="仿宋_GB2312" w:hAnsi="Times New Roman" w:cs="Times New Roman"/>
          <w:sz w:val="32"/>
          <w:szCs w:val="32"/>
        </w:rPr>
        <w:t>费、差旅费、会议费、福利费、日常维修费、专用材料及一般设备购置费、办公用房水电费、办公</w:t>
      </w:r>
      <w:r>
        <w:rPr>
          <w:rFonts w:ascii="Times New Roman" w:eastAsia="仿宋_GB2312" w:hAnsi="Times New Roman" w:cs="Times New Roman"/>
          <w:sz w:val="32"/>
          <w:szCs w:val="32"/>
        </w:rPr>
        <w:lastRenderedPageBreak/>
        <w:t>用房取暖费、办公用房物业管理费、公务用车运行维护费以及其他费用。</w:t>
      </w:r>
    </w:p>
    <w:p w:rsidR="000E448E" w:rsidRDefault="006F7A5B" w:rsidP="00E273FE">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0E448E" w:rsidRDefault="006F7A5B" w:rsidP="00E273FE">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0E448E" w:rsidRDefault="006F7A5B">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0E448E" w:rsidRDefault="006F7A5B">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0E448E" w:rsidSect="000E448E">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A5B" w:rsidRDefault="006F7A5B" w:rsidP="000E448E">
      <w:r>
        <w:separator/>
      </w:r>
    </w:p>
  </w:endnote>
  <w:endnote w:type="continuationSeparator" w:id="0">
    <w:p w:rsidR="006F7A5B" w:rsidRDefault="006F7A5B" w:rsidP="000E4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方正书宋_GBK">
    <w:altName w:val="宋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48E" w:rsidRDefault="006F7A5B">
    <w:pPr>
      <w:pStyle w:val="a4"/>
      <w:jc w:val="center"/>
    </w:pPr>
    <w:r>
      <w:rPr>
        <w:rFonts w:hint="eastAsia"/>
      </w:rPr>
      <w:t>-</w:t>
    </w:r>
    <w:r w:rsidR="000E448E" w:rsidRPr="000E448E">
      <w:fldChar w:fldCharType="begin"/>
    </w:r>
    <w:r>
      <w:instrText>PAGE   \* MERGEFORMAT</w:instrText>
    </w:r>
    <w:r w:rsidR="000E448E" w:rsidRPr="000E448E">
      <w:fldChar w:fldCharType="separate"/>
    </w:r>
    <w:r w:rsidR="00E273FE" w:rsidRPr="00E273FE">
      <w:rPr>
        <w:noProof/>
        <w:lang w:val="zh-CN"/>
      </w:rPr>
      <w:t>7</w:t>
    </w:r>
    <w:r w:rsidR="000E448E">
      <w:rPr>
        <w:lang w:val="zh-CN"/>
      </w:rPr>
      <w:fldChar w:fldCharType="end"/>
    </w:r>
    <w:r>
      <w:rPr>
        <w:rFonts w:hint="eastAsia"/>
      </w:rPr>
      <w:t>-</w:t>
    </w:r>
  </w:p>
  <w:p w:rsidR="000E448E" w:rsidRDefault="000E44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A5B" w:rsidRDefault="006F7A5B" w:rsidP="000E448E">
      <w:r>
        <w:separator/>
      </w:r>
    </w:p>
  </w:footnote>
  <w:footnote w:type="continuationSeparator" w:id="0">
    <w:p w:rsidR="006F7A5B" w:rsidRDefault="006F7A5B" w:rsidP="000E44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52A88C"/>
    <w:multiLevelType w:val="singleLevel"/>
    <w:tmpl w:val="DD52A88C"/>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YzJhMTQwYTRjMjA2MDIwZGNkNTA2NTI3MzBiMDUwYWEifQ=="/>
  </w:docVars>
  <w:rsids>
    <w:rsidRoot w:val="00D347CC"/>
    <w:rsid w:val="00024592"/>
    <w:rsid w:val="000E448E"/>
    <w:rsid w:val="004A54AA"/>
    <w:rsid w:val="006F7A5B"/>
    <w:rsid w:val="008F75EB"/>
    <w:rsid w:val="00A706FE"/>
    <w:rsid w:val="00B80935"/>
    <w:rsid w:val="00D347CC"/>
    <w:rsid w:val="00E273FE"/>
    <w:rsid w:val="03570049"/>
    <w:rsid w:val="0AA04A81"/>
    <w:rsid w:val="16DE1D6D"/>
    <w:rsid w:val="1DEF4C98"/>
    <w:rsid w:val="24854E52"/>
    <w:rsid w:val="2D427C09"/>
    <w:rsid w:val="2D4F02AC"/>
    <w:rsid w:val="409212EB"/>
    <w:rsid w:val="53063C0E"/>
    <w:rsid w:val="551C5C3C"/>
    <w:rsid w:val="559B1BD7"/>
    <w:rsid w:val="78FE3917"/>
    <w:rsid w:val="7D496F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448E"/>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0E448E"/>
    <w:rPr>
      <w:sz w:val="18"/>
      <w:szCs w:val="18"/>
    </w:rPr>
  </w:style>
  <w:style w:type="paragraph" w:styleId="a4">
    <w:name w:val="footer"/>
    <w:basedOn w:val="a"/>
    <w:qFormat/>
    <w:rsid w:val="000E448E"/>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0E448E"/>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0E448E"/>
    <w:rPr>
      <w:rFonts w:ascii="Times New Roman" w:hAnsi="Times New Roman" w:cs="Times New Roman"/>
      <w:szCs w:val="24"/>
    </w:rPr>
  </w:style>
  <w:style w:type="paragraph" w:styleId="a6">
    <w:name w:val="footnote text"/>
    <w:basedOn w:val="a"/>
    <w:qFormat/>
    <w:rsid w:val="000E448E"/>
    <w:pPr>
      <w:snapToGrid w:val="0"/>
      <w:jc w:val="left"/>
    </w:pPr>
    <w:rPr>
      <w:rFonts w:cs="Times New Roman"/>
      <w:sz w:val="18"/>
      <w:szCs w:val="18"/>
    </w:rPr>
  </w:style>
  <w:style w:type="paragraph" w:styleId="2">
    <w:name w:val="toc 2"/>
    <w:basedOn w:val="a"/>
    <w:next w:val="a"/>
    <w:qFormat/>
    <w:rsid w:val="000E448E"/>
    <w:pPr>
      <w:ind w:leftChars="200" w:left="200"/>
    </w:pPr>
    <w:rPr>
      <w:rFonts w:ascii="Times New Roman" w:hAnsi="Times New Roman" w:cs="Times New Roman"/>
      <w:szCs w:val="24"/>
    </w:rPr>
  </w:style>
  <w:style w:type="paragraph" w:styleId="a7">
    <w:name w:val="Normal (Web)"/>
    <w:basedOn w:val="a"/>
    <w:qFormat/>
    <w:rsid w:val="000E448E"/>
    <w:pPr>
      <w:spacing w:before="100" w:beforeAutospacing="1" w:after="100" w:afterAutospacing="1"/>
      <w:jc w:val="left"/>
    </w:pPr>
    <w:rPr>
      <w:kern w:val="0"/>
      <w:sz w:val="24"/>
    </w:rPr>
  </w:style>
  <w:style w:type="character" w:styleId="a8">
    <w:name w:val="footnote reference"/>
    <w:qFormat/>
    <w:rsid w:val="000E448E"/>
    <w:rPr>
      <w:vertAlign w:val="superscript"/>
    </w:rPr>
  </w:style>
  <w:style w:type="paragraph" w:customStyle="1" w:styleId="Default">
    <w:name w:val="Default"/>
    <w:qFormat/>
    <w:rsid w:val="000E448E"/>
    <w:pPr>
      <w:widowControl w:val="0"/>
      <w:autoSpaceDE w:val="0"/>
      <w:autoSpaceDN w:val="0"/>
      <w:adjustRightInd w:val="0"/>
    </w:pPr>
    <w:rPr>
      <w:rFonts w:ascii="Times New Roman" w:eastAsia="宋体"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708</Words>
  <Characters>4037</Characters>
  <Application>Microsoft Office Word</Application>
  <DocSecurity>0</DocSecurity>
  <Lines>33</Lines>
  <Paragraphs>9</Paragraphs>
  <ScaleCrop>false</ScaleCrop>
  <Company>Microsoft</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81</cp:revision>
  <cp:lastPrinted>2018-01-30T06:12:00Z</cp:lastPrinted>
  <dcterms:created xsi:type="dcterms:W3CDTF">2020-01-13T03:27:00Z</dcterms:created>
  <dcterms:modified xsi:type="dcterms:W3CDTF">2023-07-25T09:34:00Z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FD55D12DDCED411CBAF1A47A4B4EF578</vt:lpwstr>
  </property>
</Properties>
</file>